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B1" w:rsidRPr="00C25C7F" w:rsidRDefault="009063B1" w:rsidP="009063B1">
      <w:pPr>
        <w:pStyle w:val="Textkrper"/>
        <w:framePr w:w="10507" w:h="1083" w:hRule="exact" w:wrap="around" w:x="646" w:y="436"/>
        <w:tabs>
          <w:tab w:val="left" w:pos="284"/>
          <w:tab w:val="right" w:pos="10490"/>
        </w:tabs>
        <w:rPr>
          <w:i/>
          <w:color w:val="FF9933"/>
          <w:sz w:val="36"/>
          <w:szCs w:val="36"/>
          <w:lang w:val="fr-FR"/>
        </w:rPr>
      </w:pPr>
      <w:bookmarkStart w:id="0" w:name="_GoBack"/>
      <w:bookmarkEnd w:id="0"/>
      <w:r w:rsidRPr="00C25C7F">
        <w:rPr>
          <w:i/>
          <w:color w:val="C0C0C0"/>
          <w:sz w:val="36"/>
          <w:szCs w:val="36"/>
          <w:lang w:val="fr-FR"/>
        </w:rPr>
        <w:t>Ecole/Syndicat scolaire/Syndicat de communes Xy</w:t>
      </w:r>
      <w:r w:rsidRPr="00C25C7F">
        <w:rPr>
          <w:i/>
          <w:color w:val="FF9933"/>
          <w:sz w:val="36"/>
          <w:szCs w:val="36"/>
          <w:lang w:val="fr-FR"/>
        </w:rPr>
        <w:tab/>
      </w:r>
    </w:p>
    <w:p w:rsidR="009063B1" w:rsidRPr="00C25C7F" w:rsidRDefault="009D67E1" w:rsidP="009063B1">
      <w:pPr>
        <w:pStyle w:val="Textkrper"/>
        <w:framePr w:w="10507" w:h="1083" w:hRule="exact" w:wrap="around" w:x="646" w:y="436"/>
        <w:tabs>
          <w:tab w:val="left" w:pos="284"/>
          <w:tab w:val="right" w:pos="10490"/>
        </w:tabs>
        <w:rPr>
          <w:i/>
          <w:sz w:val="36"/>
          <w:szCs w:val="36"/>
          <w:lang w:val="fr-FR"/>
        </w:rPr>
      </w:pPr>
      <w:r w:rsidRPr="00C25C7F">
        <w:rPr>
          <w:i/>
          <w:noProof/>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185420</wp:posOffset>
                </wp:positionV>
                <wp:extent cx="665607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5C3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24.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l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z6Sx9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" o:allowincell="f"/>
            </w:pict>
          </mc:Fallback>
        </mc:AlternateContent>
      </w:r>
      <w:r w:rsidR="009063B1" w:rsidRPr="00C25C7F">
        <w:rPr>
          <w:i/>
          <w:noProof/>
          <w:sz w:val="24"/>
          <w:lang w:val="fr-FR"/>
        </w:rPr>
        <w:t>Commission scolaire / Commission de l’enseignement spécialisé</w:t>
      </w:r>
      <w:r w:rsidR="009063B1" w:rsidRPr="00C25C7F">
        <w:rPr>
          <w:i/>
          <w:noProof/>
          <w:sz w:val="24"/>
          <w:lang w:val="fr-FR"/>
        </w:rPr>
        <w:tab/>
      </w:r>
      <w:r w:rsidR="009063B1" w:rsidRPr="00C25C7F">
        <w:rPr>
          <w:b w:val="0"/>
          <w:i/>
          <w:noProof/>
          <w:sz w:val="20"/>
          <w:lang w:val="fr-FR"/>
        </w:rPr>
        <w:t>#267143v</w:t>
      </w:r>
      <w:r w:rsidR="009063B1">
        <w:rPr>
          <w:b w:val="0"/>
          <w:i/>
          <w:noProof/>
          <w:sz w:val="20"/>
          <w:lang w:val="fr-FR"/>
        </w:rPr>
        <w:t>3A</w:t>
      </w:r>
    </w:p>
    <w:tbl>
      <w:tblPr>
        <w:tblW w:w="9498" w:type="dxa"/>
        <w:tblInd w:w="-356" w:type="dxa"/>
        <w:tblLayout w:type="fixed"/>
        <w:tblCellMar>
          <w:left w:w="70" w:type="dxa"/>
          <w:right w:w="70" w:type="dxa"/>
        </w:tblCellMar>
        <w:tblLook w:val="0000" w:firstRow="0" w:lastRow="0" w:firstColumn="0" w:lastColumn="0" w:noHBand="0" w:noVBand="0"/>
      </w:tblPr>
      <w:tblGrid>
        <w:gridCol w:w="3261"/>
        <w:gridCol w:w="6237"/>
      </w:tblGrid>
      <w:tr w:rsidR="009063B1" w:rsidRPr="003607C9">
        <w:tc>
          <w:tcPr>
            <w:tcW w:w="9498" w:type="dxa"/>
            <w:gridSpan w:val="2"/>
            <w:tcBorders>
              <w:bottom w:val="single" w:sz="4" w:space="0" w:color="auto"/>
            </w:tcBorders>
          </w:tcPr>
          <w:p w:rsidR="009063B1" w:rsidRPr="00C25C7F" w:rsidRDefault="009063B1" w:rsidP="009063B1">
            <w:pPr>
              <w:pStyle w:val="Fuzeile"/>
              <w:tabs>
                <w:tab w:val="clear" w:pos="4536"/>
                <w:tab w:val="clear" w:pos="9072"/>
              </w:tabs>
              <w:rPr>
                <w:b/>
                <w:sz w:val="28"/>
                <w:lang w:val="fr-FR"/>
              </w:rPr>
            </w:pPr>
            <w:r w:rsidRPr="00C25C7F">
              <w:rPr>
                <w:b/>
                <w:sz w:val="28"/>
                <w:lang w:val="fr-FR"/>
              </w:rPr>
              <w:t>Cahier des charges/Descriptif de poste pour la direction de l’enseignement spécialisé</w:t>
            </w:r>
          </w:p>
          <w:p w:rsidR="009063B1" w:rsidRPr="00C25C7F" w:rsidRDefault="009063B1" w:rsidP="009063B1">
            <w:pPr>
              <w:jc w:val="center"/>
              <w:rPr>
                <w:lang w:val="fr-FR"/>
              </w:rPr>
            </w:pPr>
          </w:p>
        </w:tc>
      </w:tr>
      <w:tr w:rsidR="009063B1" w:rsidRPr="00C25C7F">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Titulaire du poste</w:t>
            </w:r>
          </w:p>
          <w:p w:rsidR="009063B1" w:rsidRPr="00C25C7F" w:rsidRDefault="009063B1" w:rsidP="009063B1">
            <w:pPr>
              <w:rPr>
                <w:b/>
                <w:sz w:val="20"/>
                <w:lang w:val="fr-FR"/>
              </w:rPr>
            </w:pP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rPr>
                <w:lang w:val="fr-FR"/>
              </w:rPr>
            </w:pPr>
            <w:r w:rsidRPr="00C25C7F">
              <w:rPr>
                <w:lang w:val="fr-FR"/>
              </w:rPr>
              <w:t>Marie Modèle</w:t>
            </w:r>
          </w:p>
        </w:tc>
      </w:tr>
      <w:tr w:rsidR="009063B1" w:rsidRPr="00C25C7F">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Désignation du poste</w:t>
            </w: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Pr>
                <w:lang w:val="fr-FR"/>
              </w:rPr>
              <w:t>Directeur</w:t>
            </w:r>
            <w:r w:rsidRPr="00C25C7F">
              <w:rPr>
                <w:lang w:val="fr-FR"/>
              </w:rPr>
              <w:t>/</w:t>
            </w:r>
            <w:r>
              <w:rPr>
                <w:lang w:val="fr-FR"/>
              </w:rPr>
              <w:t xml:space="preserve">Directrice </w:t>
            </w:r>
            <w:r w:rsidRPr="00C25C7F">
              <w:rPr>
                <w:lang w:val="fr-FR"/>
              </w:rPr>
              <w:t xml:space="preserve">de l’enseignement spécialisé </w:t>
            </w:r>
          </w:p>
          <w:p w:rsidR="009063B1" w:rsidRPr="00C25C7F" w:rsidRDefault="009063B1" w:rsidP="009063B1">
            <w:pPr>
              <w:tabs>
                <w:tab w:val="left" w:pos="1701"/>
              </w:tabs>
              <w:rPr>
                <w:lang w:val="fr-FR"/>
              </w:rPr>
            </w:pPr>
          </w:p>
        </w:tc>
      </w:tr>
      <w:tr w:rsidR="009063B1" w:rsidRPr="00C25C7F">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Degré d’occupation</w:t>
            </w:r>
          </w:p>
          <w:p w:rsidR="009063B1" w:rsidRPr="00C25C7F" w:rsidRDefault="009063B1" w:rsidP="009063B1">
            <w:pPr>
              <w:rPr>
                <w:b/>
                <w:sz w:val="20"/>
                <w:lang w:val="fr-FR"/>
              </w:rPr>
            </w:pP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sidRPr="00C25C7F">
              <w:rPr>
                <w:lang w:val="fr-FR"/>
              </w:rPr>
              <w:t>xx %</w:t>
            </w:r>
          </w:p>
        </w:tc>
      </w:tr>
      <w:tr w:rsidR="009063B1" w:rsidRPr="003607C9">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Responsabilités</w:t>
            </w: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sidRPr="00C25C7F">
              <w:rPr>
                <w:lang w:val="fr-FR"/>
              </w:rPr>
              <w:t>Direction et coordination de l’enseignement spécialisé pour l’école/les écoles/la commune/les communes Xy</w:t>
            </w:r>
          </w:p>
          <w:p w:rsidR="009063B1" w:rsidRPr="00C25C7F" w:rsidRDefault="009063B1" w:rsidP="009063B1">
            <w:pPr>
              <w:tabs>
                <w:tab w:val="left" w:pos="1701"/>
              </w:tabs>
              <w:rPr>
                <w:lang w:val="fr-FR"/>
              </w:rPr>
            </w:pPr>
          </w:p>
        </w:tc>
      </w:tr>
      <w:tr w:rsidR="009063B1" w:rsidRPr="00C25C7F">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Suppléance</w:t>
            </w: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sidRPr="00C25C7F">
              <w:rPr>
                <w:lang w:val="fr-FR"/>
              </w:rPr>
              <w:t>Xx Yy</w:t>
            </w:r>
          </w:p>
          <w:p w:rsidR="009063B1" w:rsidRPr="00C25C7F" w:rsidRDefault="009063B1" w:rsidP="009063B1">
            <w:pPr>
              <w:tabs>
                <w:tab w:val="left" w:pos="1701"/>
              </w:tabs>
              <w:rPr>
                <w:lang w:val="fr-FR"/>
              </w:rPr>
            </w:pPr>
          </w:p>
        </w:tc>
      </w:tr>
      <w:tr w:rsidR="009063B1" w:rsidRPr="003607C9">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sidRPr="00C25C7F">
              <w:rPr>
                <w:b/>
                <w:sz w:val="20"/>
                <w:lang w:val="fr-FR"/>
              </w:rPr>
              <w:t>Autorité supérieure / Autorité d’engagement</w:t>
            </w: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sidRPr="00C25C7F">
              <w:rPr>
                <w:lang w:val="fr-FR"/>
              </w:rPr>
              <w:t>Commission scolaire/Commission de l’enseignement spécialisé Xy</w:t>
            </w:r>
          </w:p>
          <w:p w:rsidR="009063B1" w:rsidRPr="00C25C7F" w:rsidRDefault="009063B1" w:rsidP="009063B1">
            <w:pPr>
              <w:tabs>
                <w:tab w:val="left" w:pos="1701"/>
              </w:tabs>
              <w:rPr>
                <w:lang w:val="fr-FR"/>
              </w:rPr>
            </w:pPr>
          </w:p>
        </w:tc>
      </w:tr>
      <w:tr w:rsidR="009063B1" w:rsidRPr="003607C9">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rPr>
                <w:b/>
                <w:sz w:val="20"/>
                <w:lang w:val="fr-FR"/>
              </w:rPr>
            </w:pPr>
            <w:r>
              <w:rPr>
                <w:b/>
                <w:sz w:val="20"/>
                <w:lang w:val="fr-FR"/>
              </w:rPr>
              <w:t xml:space="preserve">Corps </w:t>
            </w:r>
            <w:r w:rsidRPr="00C25C7F">
              <w:rPr>
                <w:b/>
                <w:sz w:val="20"/>
                <w:lang w:val="fr-FR"/>
              </w:rPr>
              <w:t>enseignant subordonné</w:t>
            </w: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tabs>
                <w:tab w:val="left" w:pos="1701"/>
              </w:tabs>
              <w:rPr>
                <w:lang w:val="fr-FR"/>
              </w:rPr>
            </w:pPr>
            <w:r w:rsidRPr="00C25C7F">
              <w:rPr>
                <w:lang w:val="fr-FR"/>
              </w:rPr>
              <w:t>Enseignants et enseignantes spécialisés dans le secteur géographique Xy</w:t>
            </w:r>
          </w:p>
          <w:p w:rsidR="009063B1" w:rsidRPr="00C25C7F" w:rsidRDefault="009063B1" w:rsidP="009063B1">
            <w:pPr>
              <w:tabs>
                <w:tab w:val="left" w:pos="1701"/>
              </w:tabs>
              <w:rPr>
                <w:lang w:val="fr-FR"/>
              </w:rPr>
            </w:pPr>
          </w:p>
        </w:tc>
      </w:tr>
      <w:tr w:rsidR="009063B1" w:rsidRPr="003607C9">
        <w:tc>
          <w:tcPr>
            <w:tcW w:w="3261"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rPr>
                <w:b/>
                <w:sz w:val="20"/>
                <w:lang w:val="fr-FR"/>
              </w:rPr>
            </w:pPr>
            <w:r w:rsidRPr="00C25C7F">
              <w:rPr>
                <w:b/>
                <w:sz w:val="20"/>
                <w:lang w:val="fr-FR"/>
              </w:rPr>
              <w:t>Bases légales</w:t>
            </w:r>
          </w:p>
          <w:p w:rsidR="009063B1" w:rsidRPr="00C25C7F" w:rsidRDefault="009063B1" w:rsidP="009063B1">
            <w:pPr>
              <w:rPr>
                <w:b/>
                <w:sz w:val="20"/>
                <w:lang w:val="fr-FR"/>
              </w:rPr>
            </w:pPr>
          </w:p>
        </w:tc>
        <w:tc>
          <w:tcPr>
            <w:tcW w:w="6237" w:type="dxa"/>
            <w:tcBorders>
              <w:top w:val="single" w:sz="4" w:space="0" w:color="auto"/>
              <w:left w:val="nil"/>
              <w:bottom w:val="single" w:sz="4" w:space="0" w:color="auto"/>
              <w:right w:val="single" w:sz="4" w:space="0" w:color="auto"/>
            </w:tcBorders>
          </w:tcPr>
          <w:p w:rsidR="009063B1" w:rsidRPr="00C25C7F" w:rsidRDefault="009063B1" w:rsidP="009063B1">
            <w:pPr>
              <w:rPr>
                <w:lang w:val="fr-FR"/>
              </w:rPr>
            </w:pPr>
            <w:r w:rsidRPr="00C25C7F">
              <w:rPr>
                <w:lang w:val="fr-FR"/>
              </w:rPr>
              <w:t>Article 43</w:t>
            </w:r>
            <w:r w:rsidRPr="00C25C7F">
              <w:rPr>
                <w:szCs w:val="22"/>
                <w:vertAlign w:val="superscript"/>
                <w:lang w:val="fr-FR"/>
              </w:rPr>
              <w:t xml:space="preserve">, </w:t>
            </w:r>
            <w:r w:rsidRPr="00C25C7F">
              <w:rPr>
                <w:lang w:val="fr-FR"/>
              </w:rPr>
              <w:t>alinéa 2 LEO</w:t>
            </w:r>
          </w:p>
          <w:p w:rsidR="009063B1" w:rsidRPr="00C25C7F" w:rsidRDefault="009063B1" w:rsidP="009063B1">
            <w:pPr>
              <w:rPr>
                <w:lang w:val="fr-FR"/>
              </w:rPr>
            </w:pPr>
            <w:r w:rsidRPr="00C25C7F">
              <w:rPr>
                <w:lang w:val="fr-FR"/>
              </w:rPr>
              <w:t xml:space="preserve">Article </w:t>
            </w:r>
            <w:r w:rsidR="00E92A94">
              <w:rPr>
                <w:lang w:val="fr-FR"/>
              </w:rPr>
              <w:t>8</w:t>
            </w:r>
            <w:r w:rsidRPr="00C25C7F">
              <w:rPr>
                <w:lang w:val="fr-FR"/>
              </w:rPr>
              <w:t xml:space="preserve">9 et annexe </w:t>
            </w:r>
            <w:r w:rsidR="00E92A94">
              <w:rPr>
                <w:lang w:val="fr-FR"/>
              </w:rPr>
              <w:t>4</w:t>
            </w:r>
            <w:r w:rsidRPr="00C25C7F">
              <w:rPr>
                <w:lang w:val="fr-FR"/>
              </w:rPr>
              <w:t xml:space="preserve"> OSE</w:t>
            </w:r>
          </w:p>
          <w:p w:rsidR="009063B1" w:rsidRPr="00C25C7F" w:rsidRDefault="009063B1" w:rsidP="009063B1">
            <w:pPr>
              <w:rPr>
                <w:lang w:val="fr-FR"/>
              </w:rPr>
            </w:pPr>
          </w:p>
        </w:tc>
      </w:tr>
      <w:tr w:rsidR="009063B1" w:rsidRPr="003607C9">
        <w:trPr>
          <w:trHeight w:val="490"/>
        </w:trPr>
        <w:tc>
          <w:tcPr>
            <w:tcW w:w="3261" w:type="dxa"/>
            <w:tcBorders>
              <w:top w:val="single" w:sz="4" w:space="0" w:color="auto"/>
            </w:tcBorders>
          </w:tcPr>
          <w:p w:rsidR="009063B1" w:rsidRPr="00C25C7F" w:rsidRDefault="009063B1" w:rsidP="009063B1">
            <w:pPr>
              <w:rPr>
                <w:lang w:val="fr-FR"/>
              </w:rPr>
            </w:pPr>
          </w:p>
          <w:p w:rsidR="009063B1" w:rsidRPr="00C25C7F" w:rsidRDefault="009063B1" w:rsidP="009063B1">
            <w:pPr>
              <w:rPr>
                <w:lang w:val="fr-FR"/>
              </w:rPr>
            </w:pPr>
          </w:p>
          <w:p w:rsidR="009063B1" w:rsidRPr="00C25C7F" w:rsidRDefault="009063B1" w:rsidP="009063B1">
            <w:pPr>
              <w:rPr>
                <w:lang w:val="fr-FR"/>
              </w:rPr>
            </w:pPr>
          </w:p>
        </w:tc>
        <w:tc>
          <w:tcPr>
            <w:tcW w:w="6237" w:type="dxa"/>
            <w:tcBorders>
              <w:top w:val="single" w:sz="4" w:space="0" w:color="auto"/>
            </w:tcBorders>
          </w:tcPr>
          <w:p w:rsidR="009063B1" w:rsidRPr="00C25C7F" w:rsidRDefault="009063B1" w:rsidP="009063B1">
            <w:pPr>
              <w:pStyle w:val="Kopfzeile"/>
              <w:tabs>
                <w:tab w:val="clear" w:pos="9071"/>
              </w:tabs>
              <w:rPr>
                <w:rFonts w:ascii="Arial" w:hAnsi="Arial"/>
                <w:lang w:val="fr-FR"/>
              </w:rPr>
            </w:pPr>
          </w:p>
        </w:tc>
      </w:tr>
      <w:tr w:rsidR="009063B1" w:rsidRPr="00C25C7F">
        <w:trPr>
          <w:cantSplit/>
        </w:trPr>
        <w:tc>
          <w:tcPr>
            <w:tcW w:w="9498" w:type="dxa"/>
            <w:gridSpan w:val="2"/>
            <w:shd w:val="clear" w:color="auto" w:fill="auto"/>
          </w:tcPr>
          <w:p w:rsidR="009063B1" w:rsidRPr="00C25C7F" w:rsidRDefault="009063B1" w:rsidP="009063B1">
            <w:pPr>
              <w:pStyle w:val="berschrift6"/>
              <w:rPr>
                <w:i/>
                <w:sz w:val="24"/>
                <w:szCs w:val="24"/>
                <w:lang w:val="fr-FR"/>
              </w:rPr>
            </w:pPr>
            <w:r w:rsidRPr="00C25C7F">
              <w:rPr>
                <w:i/>
                <w:sz w:val="24"/>
                <w:szCs w:val="24"/>
                <w:lang w:val="fr-FR"/>
              </w:rPr>
              <w:t>But et objet</w:t>
            </w:r>
          </w:p>
        </w:tc>
      </w:tr>
      <w:tr w:rsidR="009063B1" w:rsidRPr="00C25C7F">
        <w:trPr>
          <w:cantSplit/>
        </w:trPr>
        <w:tc>
          <w:tcPr>
            <w:tcW w:w="9498" w:type="dxa"/>
            <w:gridSpan w:val="2"/>
            <w:shd w:val="clear" w:color="auto" w:fill="auto"/>
          </w:tcPr>
          <w:p w:rsidR="009063B1" w:rsidRPr="00C25C7F" w:rsidRDefault="009063B1" w:rsidP="009063B1">
            <w:pPr>
              <w:pStyle w:val="berschrift6"/>
              <w:rPr>
                <w:i/>
                <w:sz w:val="24"/>
                <w:szCs w:val="24"/>
                <w:lang w:val="fr-FR"/>
              </w:rPr>
            </w:pPr>
          </w:p>
        </w:tc>
      </w:tr>
      <w:tr w:rsidR="009063B1" w:rsidRPr="003607C9">
        <w:tc>
          <w:tcPr>
            <w:tcW w:w="9498" w:type="dxa"/>
            <w:gridSpan w:val="2"/>
          </w:tcPr>
          <w:p w:rsidR="009063B1" w:rsidRPr="00C25C7F" w:rsidRDefault="009063B1" w:rsidP="009063B1">
            <w:pPr>
              <w:pStyle w:val="Default"/>
              <w:rPr>
                <w:i/>
                <w:sz w:val="22"/>
                <w:szCs w:val="22"/>
                <w:lang w:val="fr-FR"/>
              </w:rPr>
            </w:pPr>
            <w:r w:rsidRPr="00C25C7F">
              <w:rPr>
                <w:i/>
                <w:sz w:val="22"/>
                <w:szCs w:val="22"/>
                <w:lang w:val="fr-FR"/>
              </w:rPr>
              <w:t>Le présent descriptif de poste définit les tâches et les compétences de la direction de l’enseignement spécialisé. Il sert de base à l’entretien d’évaluation avec l’autorité d’engagement.</w:t>
            </w:r>
          </w:p>
          <w:p w:rsidR="009063B1" w:rsidRPr="00C25C7F" w:rsidRDefault="009063B1" w:rsidP="009063B1">
            <w:pPr>
              <w:pStyle w:val="Default"/>
              <w:rPr>
                <w:i/>
                <w:sz w:val="22"/>
                <w:szCs w:val="22"/>
                <w:lang w:val="fr-FR"/>
              </w:rPr>
            </w:pPr>
            <w:r w:rsidRPr="00C25C7F">
              <w:rPr>
                <w:i/>
                <w:sz w:val="22"/>
                <w:szCs w:val="22"/>
                <w:lang w:val="fr-FR"/>
              </w:rPr>
              <w:t xml:space="preserve">Le profil décrit ci-après est utilisé pour la sélection du personnel lorsqu’un poste est à repourvoir. </w:t>
            </w:r>
          </w:p>
        </w:tc>
      </w:tr>
      <w:tr w:rsidR="009063B1" w:rsidRPr="003607C9">
        <w:trPr>
          <w:cantSplit/>
        </w:trPr>
        <w:tc>
          <w:tcPr>
            <w:tcW w:w="9498" w:type="dxa"/>
            <w:gridSpan w:val="2"/>
            <w:shd w:val="clear" w:color="auto" w:fill="auto"/>
          </w:tcPr>
          <w:p w:rsidR="009063B1" w:rsidRPr="00C25C7F" w:rsidRDefault="009063B1" w:rsidP="009063B1">
            <w:pPr>
              <w:pStyle w:val="berschrift6"/>
              <w:rPr>
                <w:i/>
                <w:sz w:val="24"/>
                <w:szCs w:val="24"/>
                <w:lang w:val="fr-FR"/>
              </w:rPr>
            </w:pPr>
            <w:r w:rsidRPr="00C25C7F">
              <w:rPr>
                <w:i/>
                <w:sz w:val="24"/>
                <w:szCs w:val="24"/>
                <w:lang w:val="fr-FR"/>
              </w:rPr>
              <w:t xml:space="preserve">Tâches et compétences </w:t>
            </w:r>
            <w:r w:rsidR="00E92A94">
              <w:rPr>
                <w:b w:val="0"/>
                <w:i/>
                <w:sz w:val="20"/>
                <w:lang w:val="fr-FR"/>
              </w:rPr>
              <w:t>(selon l’art. 8</w:t>
            </w:r>
            <w:r w:rsidRPr="00C25C7F">
              <w:rPr>
                <w:b w:val="0"/>
                <w:i/>
                <w:sz w:val="20"/>
                <w:lang w:val="fr-FR"/>
              </w:rPr>
              <w:t>9 OSE)</w:t>
            </w:r>
          </w:p>
        </w:tc>
      </w:tr>
    </w:tbl>
    <w:p w:rsidR="009063B1" w:rsidRPr="00C25C7F" w:rsidRDefault="009063B1" w:rsidP="009063B1">
      <w:pPr>
        <w:pStyle w:val="berschrift1"/>
        <w:keepNext w:val="0"/>
        <w:widowControl w:val="0"/>
        <w:rPr>
          <w:sz w:val="22"/>
          <w:lang w:val="fr-FR"/>
        </w:rPr>
        <w:sectPr w:rsidR="009063B1" w:rsidRPr="00C25C7F" w:rsidSect="00134E59">
          <w:headerReference w:type="default" r:id="rId7"/>
          <w:footerReference w:type="first" r:id="rId8"/>
          <w:footnotePr>
            <w:pos w:val="beneathText"/>
          </w:footnotePr>
          <w:endnotePr>
            <w:numFmt w:val="decimal"/>
            <w:numRestart w:val="eachSect"/>
          </w:endnotePr>
          <w:pgSz w:w="11907" w:h="16840"/>
          <w:pgMar w:top="1670" w:right="851" w:bottom="1134" w:left="1616" w:header="720" w:footer="74" w:gutter="0"/>
          <w:cols w:space="720"/>
          <w:titlePg/>
        </w:sectPr>
      </w:pPr>
    </w:p>
    <w:p w:rsidR="009063B1" w:rsidRPr="00C25C7F" w:rsidRDefault="009063B1" w:rsidP="009063B1">
      <w:pPr>
        <w:pStyle w:val="berschrift1"/>
        <w:keepNext w:val="0"/>
        <w:widowControl w:val="0"/>
        <w:rPr>
          <w:sz w:val="22"/>
          <w:lang w:val="fr-FR"/>
        </w:rPr>
        <w:sectPr w:rsidR="009063B1" w:rsidRPr="00C25C7F" w:rsidSect="00134E59">
          <w:footnotePr>
            <w:pos w:val="beneathText"/>
          </w:footnotePr>
          <w:endnotePr>
            <w:numFmt w:val="decimal"/>
            <w:numRestart w:val="eachSect"/>
          </w:endnotePr>
          <w:type w:val="continuous"/>
          <w:pgSz w:w="11907" w:h="16840"/>
          <w:pgMar w:top="1670" w:right="851" w:bottom="1134" w:left="1616" w:header="720" w:footer="74" w:gutter="0"/>
          <w:cols w:space="720"/>
          <w:titlePg/>
        </w:sectPr>
      </w:pPr>
    </w:p>
    <w:tbl>
      <w:tblPr>
        <w:tblW w:w="9498" w:type="dxa"/>
        <w:tblInd w:w="-356" w:type="dxa"/>
        <w:tblLayout w:type="fixed"/>
        <w:tblCellMar>
          <w:left w:w="70" w:type="dxa"/>
          <w:right w:w="70" w:type="dxa"/>
        </w:tblCellMar>
        <w:tblLook w:val="0000" w:firstRow="0" w:lastRow="0" w:firstColumn="0" w:lastColumn="0" w:noHBand="0" w:noVBand="0"/>
      </w:tblPr>
      <w:tblGrid>
        <w:gridCol w:w="1986"/>
        <w:gridCol w:w="7512"/>
      </w:tblGrid>
      <w:tr w:rsidR="009063B1" w:rsidRPr="00C25C7F">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9063B1" w:rsidRPr="00C25C7F" w:rsidRDefault="009063B1" w:rsidP="009063B1">
            <w:pPr>
              <w:pStyle w:val="berschrift6"/>
              <w:rPr>
                <w:lang w:val="fr-FR"/>
              </w:rPr>
            </w:pPr>
            <w:r w:rsidRPr="00C25C7F">
              <w:rPr>
                <w:lang w:val="fr-FR"/>
              </w:rPr>
              <w:t>1. Conduite du personnel</w:t>
            </w:r>
          </w:p>
          <w:p w:rsidR="009063B1" w:rsidRPr="00C25C7F" w:rsidRDefault="009063B1" w:rsidP="009063B1">
            <w:pPr>
              <w:autoSpaceDE w:val="0"/>
              <w:autoSpaceDN w:val="0"/>
              <w:adjustRightInd w:val="0"/>
              <w:rPr>
                <w:rFonts w:ascii="ArialMT" w:hAnsi="ArialMT" w:cs="ArialMT"/>
                <w:szCs w:val="22"/>
                <w:lang w:val="fr-FR" w:eastAsia="en-US"/>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Personnel</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MT" w:hAnsi="ArialMT" w:cs="ArialMT"/>
                <w:szCs w:val="22"/>
                <w:lang w:val="fr-FR" w:eastAsia="en-US"/>
              </w:rPr>
            </w:pPr>
            <w:r w:rsidRPr="00C25C7F">
              <w:rPr>
                <w:rFonts w:ascii="Arial" w:hAnsi="Arial" w:cs="Arial"/>
                <w:color w:val="000000"/>
                <w:szCs w:val="22"/>
                <w:lang w:val="fr-FR"/>
              </w:rPr>
              <w:t>La direction de l’enseignement spécialisé est responsable de la planification et de</w:t>
            </w:r>
            <w:r>
              <w:rPr>
                <w:rFonts w:ascii="Arial" w:hAnsi="Arial" w:cs="Arial"/>
                <w:color w:val="000000"/>
                <w:szCs w:val="22"/>
                <w:lang w:val="fr-FR"/>
              </w:rPr>
              <w:t xml:space="preserve"> la répartition </w:t>
            </w:r>
            <w:r w:rsidRPr="00C25C7F">
              <w:rPr>
                <w:rFonts w:ascii="Arial" w:hAnsi="Arial" w:cs="Arial"/>
                <w:color w:val="000000"/>
                <w:szCs w:val="22"/>
                <w:lang w:val="fr-FR"/>
              </w:rPr>
              <w:t xml:space="preserve">du personnel conformément à la stratégie du personnel. </w:t>
            </w:r>
          </w:p>
          <w:p w:rsidR="009063B1" w:rsidRPr="00C25C7F" w:rsidRDefault="009063B1" w:rsidP="009063B1">
            <w:pPr>
              <w:autoSpaceDE w:val="0"/>
              <w:autoSpaceDN w:val="0"/>
              <w:adjustRightInd w:val="0"/>
              <w:rPr>
                <w:rFonts w:ascii="ArialMT" w:hAnsi="ArialMT" w:cs="ArialMT"/>
                <w:szCs w:val="22"/>
                <w:lang w:val="fr-FR" w:eastAsia="en-US"/>
              </w:rPr>
            </w:pPr>
          </w:p>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MT" w:hAnsi="ArialMT" w:cs="ArialMT"/>
                <w:szCs w:val="22"/>
                <w:lang w:val="fr-FR" w:eastAsia="en-US"/>
              </w:rPr>
              <w:t>Elle vérifie les décomptes horaires des membres du corps enseignant spécialisé</w:t>
            </w:r>
            <w:r w:rsidRPr="00C25C7F">
              <w:rPr>
                <w:rFonts w:ascii="Arial" w:hAnsi="Arial" w:cs="Arial"/>
                <w:color w:val="000000"/>
                <w:szCs w:val="22"/>
                <w:lang w:val="fr-FR"/>
              </w:rPr>
              <w:t xml:space="preserve">. </w:t>
            </w:r>
            <w:r w:rsidRPr="00C25C7F">
              <w:rPr>
                <w:rStyle w:val="Endnotenzeichen"/>
                <w:rFonts w:ascii="Arial" w:hAnsi="Arial" w:cs="Arial"/>
                <w:color w:val="000000"/>
                <w:szCs w:val="22"/>
                <w:lang w:val="fr-FR"/>
              </w:rPr>
              <w:endnoteReference w:id="1"/>
            </w:r>
          </w:p>
          <w:p w:rsidR="009063B1" w:rsidRPr="00C25C7F" w:rsidRDefault="009063B1" w:rsidP="009063B1">
            <w:pPr>
              <w:autoSpaceDE w:val="0"/>
              <w:autoSpaceDN w:val="0"/>
              <w:adjustRightInd w:val="0"/>
              <w:rPr>
                <w:rFonts w:ascii="ArialMT" w:hAnsi="ArialMT" w:cs="ArialMT"/>
                <w:szCs w:val="22"/>
                <w:lang w:val="fr-FR" w:eastAsia="en-US"/>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Engagement de personnel</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 xml:space="preserve">La direction de l’enseignement spécialisé participe au processus d’engagement de nouveaux membres du corps enseignant spécialisé. </w:t>
            </w:r>
          </w:p>
          <w:p w:rsidR="009063B1" w:rsidRPr="00C25C7F" w:rsidRDefault="009063B1" w:rsidP="009063B1">
            <w:pPr>
              <w:widowControl w:val="0"/>
              <w:autoSpaceDE w:val="0"/>
              <w:autoSpaceDN w:val="0"/>
              <w:adjustRightInd w:val="0"/>
              <w:rPr>
                <w:rFonts w:ascii="Arial" w:hAnsi="Arial" w:cs="Arial"/>
                <w:color w:val="000000"/>
                <w:szCs w:val="22"/>
                <w:lang w:val="fr-FR"/>
              </w:rPr>
            </w:pPr>
          </w:p>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La direction de l’enseignement spécialisé engage les nouveaux membres du corps enseignant spécialisé.</w:t>
            </w:r>
            <w:r w:rsidRPr="00C25C7F">
              <w:rPr>
                <w:rStyle w:val="Funotenzeichen"/>
                <w:rFonts w:ascii="Arial" w:hAnsi="Arial" w:cs="Arial"/>
                <w:color w:val="000000"/>
                <w:szCs w:val="22"/>
                <w:lang w:val="fr-FR"/>
              </w:rPr>
              <w:t xml:space="preserve"> </w:t>
            </w:r>
            <w:r w:rsidRPr="00C25C7F">
              <w:rPr>
                <w:rStyle w:val="Endnotenzeichen"/>
                <w:rFonts w:ascii="Arial" w:hAnsi="Arial" w:cs="Arial"/>
                <w:color w:val="000000"/>
                <w:szCs w:val="22"/>
                <w:lang w:val="fr-FR"/>
              </w:rPr>
              <w:t>1</w:t>
            </w:r>
          </w:p>
          <w:p w:rsidR="009063B1" w:rsidRPr="00C25C7F" w:rsidRDefault="009063B1" w:rsidP="009063B1">
            <w:pPr>
              <w:widowControl w:val="0"/>
              <w:autoSpaceDE w:val="0"/>
              <w:autoSpaceDN w:val="0"/>
              <w:adjustRightInd w:val="0"/>
              <w:rPr>
                <w:rFonts w:ascii="Arial" w:hAnsi="Arial" w:cs="Arial"/>
                <w:color w:val="000000"/>
                <w:szCs w:val="22"/>
                <w:lang w:val="fr-FR"/>
              </w:rPr>
            </w:pPr>
          </w:p>
          <w:p w:rsidR="009063B1" w:rsidRPr="00C25C7F" w:rsidRDefault="009063B1" w:rsidP="009063B1">
            <w:pPr>
              <w:widowControl w:val="0"/>
              <w:autoSpaceDE w:val="0"/>
              <w:autoSpaceDN w:val="0"/>
              <w:adjustRightInd w:val="0"/>
              <w:rPr>
                <w:szCs w:val="22"/>
                <w:lang w:val="fr-FR"/>
              </w:rPr>
            </w:pPr>
            <w:r w:rsidRPr="00C25C7F">
              <w:rPr>
                <w:szCs w:val="22"/>
                <w:lang w:val="fr-FR"/>
              </w:rPr>
              <w:t>Elle règle les formalités d’engagement.</w:t>
            </w:r>
          </w:p>
          <w:p w:rsidR="009063B1" w:rsidRPr="00C25C7F" w:rsidRDefault="009063B1" w:rsidP="009063B1">
            <w:pPr>
              <w:widowControl w:val="0"/>
              <w:autoSpaceDE w:val="0"/>
              <w:autoSpaceDN w:val="0"/>
              <w:adjustRightInd w:val="0"/>
              <w:rPr>
                <w:rFonts w:ascii="Arial" w:hAnsi="Arial" w:cs="Arial"/>
                <w:color w:val="000000"/>
                <w:szCs w:val="22"/>
                <w:lang w:val="fr-FR"/>
              </w:rPr>
            </w:pPr>
          </w:p>
          <w:p w:rsidR="009063B1" w:rsidRPr="002353EA"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Elle veille au respect des dispositions sur les activités annexes des membres du corps enseignant spécialisé.</w:t>
            </w: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lastRenderedPageBreak/>
              <w:t>Mandat</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La direction de l’enseignement spécialisé vérifie que les membres du corps enseignant spécialisé remplissent leur mandat conformément à l’article 17 LSE.</w:t>
            </w:r>
          </w:p>
          <w:p w:rsidR="009063B1" w:rsidRPr="00C25C7F" w:rsidRDefault="009063B1" w:rsidP="009063B1">
            <w:pPr>
              <w:widowControl w:val="0"/>
              <w:autoSpaceDE w:val="0"/>
              <w:autoSpaceDN w:val="0"/>
              <w:adjustRightInd w:val="0"/>
              <w:rPr>
                <w:rFonts w:ascii="Arial" w:hAnsi="Arial" w:cs="Arial"/>
                <w:color w:val="000000"/>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EEP</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MT" w:hAnsi="ArialMT" w:cs="ArialMT"/>
                <w:szCs w:val="22"/>
                <w:lang w:val="fr-FR" w:eastAsia="en-US"/>
              </w:rPr>
            </w:pPr>
            <w:r w:rsidRPr="00C25C7F">
              <w:rPr>
                <w:rFonts w:ascii="ArialMT" w:hAnsi="ArialMT" w:cs="ArialMT"/>
                <w:szCs w:val="22"/>
                <w:lang w:val="fr-FR" w:eastAsia="en-US"/>
              </w:rPr>
              <w:t>Tous les 2 ans au moins, la direction de l’enseignement spécialisé effectue un bilan sous</w:t>
            </w:r>
            <w:r>
              <w:rPr>
                <w:rFonts w:ascii="ArialMT" w:hAnsi="ArialMT" w:cs="ArialMT"/>
                <w:szCs w:val="22"/>
                <w:lang w:val="fr-FR" w:eastAsia="en-US"/>
              </w:rPr>
              <w:t xml:space="preserve"> la </w:t>
            </w:r>
            <w:r w:rsidRPr="00C25C7F">
              <w:rPr>
                <w:rFonts w:ascii="ArialMT" w:hAnsi="ArialMT" w:cs="ArialMT"/>
                <w:szCs w:val="22"/>
                <w:lang w:val="fr-FR" w:eastAsia="en-US"/>
              </w:rPr>
              <w:t xml:space="preserve"> forme d’un entretien d’évaluation avec les membres du corps enseignant spécialisé engagés depuis plus de 6 mois. </w:t>
            </w:r>
          </w:p>
          <w:p w:rsidR="009063B1" w:rsidRPr="00C25C7F" w:rsidRDefault="009063B1" w:rsidP="009063B1">
            <w:pPr>
              <w:autoSpaceDE w:val="0"/>
              <w:autoSpaceDN w:val="0"/>
              <w:adjustRightInd w:val="0"/>
              <w:rPr>
                <w:rFonts w:ascii="ArialMT" w:hAnsi="ArialMT" w:cs="ArialMT"/>
                <w:szCs w:val="22"/>
                <w:lang w:val="fr-FR" w:eastAsia="en-US"/>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Conférence</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La direction de l’enseignement spécialisé dirige la Conférence des enseignants et enseignantes spécialisés et anime les processus de formation d’opinion et de prise de décision.</w:t>
            </w:r>
          </w:p>
          <w:p w:rsidR="009063B1" w:rsidRPr="00C25C7F" w:rsidRDefault="009063B1" w:rsidP="009063B1">
            <w:pPr>
              <w:autoSpaceDE w:val="0"/>
              <w:autoSpaceDN w:val="0"/>
              <w:adjustRightInd w:val="0"/>
              <w:rPr>
                <w:rFonts w:ascii="Arial" w:hAnsi="Arial" w:cs="Arial"/>
                <w:color w:val="000000"/>
                <w:szCs w:val="22"/>
                <w:lang w:val="fr-FR"/>
              </w:rPr>
            </w:pPr>
          </w:p>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 xml:space="preserve">Elle applique les décisions ou en vérifie l’application au moyen de directives. </w:t>
            </w:r>
          </w:p>
          <w:p w:rsidR="009063B1" w:rsidRPr="00C25C7F" w:rsidRDefault="009063B1" w:rsidP="009063B1">
            <w:pPr>
              <w:autoSpaceDE w:val="0"/>
              <w:autoSpaceDN w:val="0"/>
              <w:adjustRightInd w:val="0"/>
              <w:rPr>
                <w:rFonts w:ascii="ArialMT" w:hAnsi="ArialMT" w:cs="ArialMT"/>
                <w:szCs w:val="22"/>
                <w:lang w:val="fr-FR" w:eastAsia="en-US"/>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Climat de travail</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La direction de l’enseignement spécialisé instaure un bon climat de travail et privilégie la collaboration.</w:t>
            </w:r>
          </w:p>
          <w:p w:rsidR="009063B1" w:rsidRPr="00C25C7F" w:rsidRDefault="009063B1" w:rsidP="009063B1">
            <w:pPr>
              <w:widowControl w:val="0"/>
              <w:autoSpaceDE w:val="0"/>
              <w:autoSpaceDN w:val="0"/>
              <w:adjustRightInd w:val="0"/>
              <w:rPr>
                <w:rFonts w:ascii="Arial" w:hAnsi="Arial" w:cs="Arial"/>
                <w:color w:val="000000"/>
                <w:szCs w:val="22"/>
                <w:lang w:val="fr-FR"/>
              </w:rPr>
            </w:pPr>
          </w:p>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Elle prend des mesures pour la gestion des conflits.</w:t>
            </w:r>
            <w:r w:rsidRPr="00C25C7F">
              <w:rPr>
                <w:rFonts w:ascii="Arial" w:hAnsi="Arial" w:cs="Arial"/>
                <w:color w:val="000000"/>
                <w:sz w:val="20"/>
                <w:lang w:val="fr-FR" w:eastAsia="en-US"/>
              </w:rPr>
              <w:t xml:space="preserve"> </w:t>
            </w:r>
          </w:p>
          <w:p w:rsidR="009063B1" w:rsidRPr="00C25C7F" w:rsidRDefault="009063B1" w:rsidP="009063B1">
            <w:pPr>
              <w:widowControl w:val="0"/>
              <w:autoSpaceDE w:val="0"/>
              <w:autoSpaceDN w:val="0"/>
              <w:adjustRightInd w:val="0"/>
              <w:rPr>
                <w:rFonts w:cs="Helv"/>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Situations difficiles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La direction de l’enseignement spécialisé soutient et conseille les membres du corps enseignant spécialisé confrontés à des situations d’enseignement difficiles.</w:t>
            </w:r>
          </w:p>
          <w:p w:rsidR="009063B1" w:rsidRPr="00C25C7F" w:rsidRDefault="009063B1" w:rsidP="009063B1">
            <w:pPr>
              <w:widowControl w:val="0"/>
              <w:autoSpaceDE w:val="0"/>
              <w:autoSpaceDN w:val="0"/>
              <w:adjustRightInd w:val="0"/>
              <w:rPr>
                <w:rFonts w:ascii="Arial" w:hAnsi="Arial" w:cs="Arial"/>
                <w:color w:val="000000"/>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Formation continue</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 w:hAnsi="Arial" w:cs="Arial"/>
                <w:color w:val="000000"/>
                <w:szCs w:val="22"/>
                <w:lang w:val="fr-FR" w:eastAsia="en-US"/>
              </w:rPr>
            </w:pPr>
            <w:r w:rsidRPr="00C25C7F">
              <w:rPr>
                <w:rFonts w:ascii="Arial" w:hAnsi="Arial" w:cs="Arial"/>
                <w:color w:val="000000"/>
                <w:szCs w:val="22"/>
                <w:lang w:val="fr-FR"/>
              </w:rPr>
              <w:t>La direction de l’enseignement spécialisé encourage le partage d’expériences professionnelles ainsi que le développement de la formation et du travail en équipe et organise la formation continue commune des enseignants et enseignantes spécialisés.</w:t>
            </w:r>
            <w:r w:rsidRPr="00C25C7F">
              <w:rPr>
                <w:rFonts w:ascii="Arial" w:hAnsi="Arial" w:cs="Arial"/>
                <w:color w:val="000000"/>
                <w:szCs w:val="22"/>
                <w:lang w:val="fr-FR" w:eastAsia="en-US"/>
              </w:rPr>
              <w:t xml:space="preserve"> </w:t>
            </w:r>
          </w:p>
          <w:p w:rsidR="009063B1" w:rsidRPr="00C25C7F" w:rsidRDefault="009063B1" w:rsidP="009063B1">
            <w:pPr>
              <w:autoSpaceDE w:val="0"/>
              <w:autoSpaceDN w:val="0"/>
              <w:adjustRightInd w:val="0"/>
              <w:rPr>
                <w:rFonts w:ascii="Arial" w:hAnsi="Arial" w:cs="Arial"/>
                <w:color w:val="000000"/>
                <w:szCs w:val="22"/>
                <w:lang w:val="fr-FR" w:eastAsia="en-US"/>
              </w:rPr>
            </w:pPr>
          </w:p>
          <w:p w:rsidR="009063B1" w:rsidRPr="00C25C7F" w:rsidRDefault="009063B1" w:rsidP="009063B1">
            <w:pPr>
              <w:autoSpaceDE w:val="0"/>
              <w:autoSpaceDN w:val="0"/>
              <w:adjustRightInd w:val="0"/>
              <w:rPr>
                <w:rFonts w:ascii="Arial" w:hAnsi="Arial" w:cs="Arial"/>
                <w:color w:val="000000"/>
                <w:szCs w:val="22"/>
                <w:lang w:val="fr-FR" w:eastAsia="en-US"/>
              </w:rPr>
            </w:pPr>
            <w:r w:rsidRPr="00C25C7F">
              <w:rPr>
                <w:rFonts w:ascii="Arial" w:hAnsi="Arial" w:cs="Arial"/>
                <w:color w:val="000000"/>
                <w:szCs w:val="22"/>
                <w:lang w:val="fr-FR" w:eastAsia="en-US"/>
              </w:rPr>
              <w:t xml:space="preserve">Elle </w:t>
            </w:r>
            <w:r>
              <w:rPr>
                <w:rFonts w:ascii="Arial" w:hAnsi="Arial" w:cs="Arial"/>
                <w:color w:val="000000"/>
                <w:szCs w:val="22"/>
                <w:lang w:val="fr-FR" w:eastAsia="en-US"/>
              </w:rPr>
              <w:t xml:space="preserve">met en application </w:t>
            </w:r>
            <w:r w:rsidRPr="00C25C7F">
              <w:rPr>
                <w:rFonts w:ascii="Arial" w:hAnsi="Arial" w:cs="Arial"/>
                <w:color w:val="000000"/>
                <w:szCs w:val="22"/>
                <w:lang w:val="fr-FR" w:eastAsia="en-US"/>
              </w:rPr>
              <w:t>le concept de formation continue.</w:t>
            </w:r>
            <w:r w:rsidRPr="00C25C7F">
              <w:rPr>
                <w:rStyle w:val="Endnotenzeichen"/>
                <w:rFonts w:ascii="Arial" w:hAnsi="Arial" w:cs="Arial"/>
                <w:color w:val="000000"/>
                <w:szCs w:val="22"/>
                <w:lang w:val="fr-FR" w:eastAsia="en-US"/>
              </w:rPr>
              <w:endnoteReference w:id="2"/>
            </w:r>
          </w:p>
          <w:p w:rsidR="009063B1" w:rsidRPr="00C25C7F" w:rsidRDefault="009063B1" w:rsidP="009063B1">
            <w:pPr>
              <w:autoSpaceDE w:val="0"/>
              <w:autoSpaceDN w:val="0"/>
              <w:adjustRightInd w:val="0"/>
              <w:rPr>
                <w:rFonts w:ascii="Arial" w:hAnsi="Arial" w:cs="Arial"/>
                <w:color w:val="000000"/>
                <w:szCs w:val="22"/>
                <w:lang w:val="fr-FR" w:eastAsia="en-US"/>
              </w:rPr>
            </w:pPr>
          </w:p>
          <w:p w:rsidR="009063B1" w:rsidRPr="00C25C7F" w:rsidRDefault="009063B1" w:rsidP="009063B1">
            <w:pPr>
              <w:autoSpaceDE w:val="0"/>
              <w:autoSpaceDN w:val="0"/>
              <w:adjustRightInd w:val="0"/>
              <w:rPr>
                <w:rFonts w:ascii="Arial" w:hAnsi="Arial"/>
                <w:sz w:val="24"/>
                <w:szCs w:val="24"/>
                <w:lang w:val="fr-FR" w:eastAsia="en-US"/>
              </w:rPr>
            </w:pPr>
            <w:r w:rsidRPr="00C25C7F">
              <w:rPr>
                <w:rFonts w:ascii="Arial" w:hAnsi="Arial" w:cs="Arial"/>
                <w:color w:val="000000"/>
                <w:szCs w:val="22"/>
                <w:lang w:val="fr-FR" w:eastAsia="en-US"/>
              </w:rPr>
              <w:t xml:space="preserve">Elle veille à ce que l’obligation de formation continue des membres du corps enseignant spécialisé soit respectée. </w:t>
            </w:r>
          </w:p>
          <w:p w:rsidR="009063B1" w:rsidRPr="00C25C7F" w:rsidRDefault="009063B1" w:rsidP="009063B1">
            <w:pPr>
              <w:widowControl w:val="0"/>
              <w:autoSpaceDE w:val="0"/>
              <w:autoSpaceDN w:val="0"/>
              <w:adjustRightInd w:val="0"/>
              <w:rPr>
                <w:rFonts w:cs="Helv"/>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w:t>
            </w:r>
          </w:p>
          <w:p w:rsidR="009063B1" w:rsidRPr="00C25C7F" w:rsidRDefault="009063B1" w:rsidP="009063B1">
            <w:pPr>
              <w:widowControl w:val="0"/>
              <w:autoSpaceDE w:val="0"/>
              <w:autoSpaceDN w:val="0"/>
              <w:adjustRightInd w:val="0"/>
              <w:rPr>
                <w:rFonts w:ascii="Arial" w:hAnsi="Arial" w:cs="Arial"/>
                <w:color w:val="000000"/>
                <w:szCs w:val="22"/>
                <w:lang w:val="fr-FR"/>
              </w:rPr>
            </w:pPr>
          </w:p>
        </w:tc>
      </w:tr>
      <w:tr w:rsidR="009063B1" w:rsidRPr="00C25C7F">
        <w:trPr>
          <w:cantSplit/>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tcPr>
          <w:p w:rsidR="009063B1" w:rsidRPr="00C25C7F" w:rsidRDefault="009063B1" w:rsidP="009063B1">
            <w:pPr>
              <w:pStyle w:val="berschrift6"/>
              <w:rPr>
                <w:lang w:val="fr-FR"/>
              </w:rPr>
            </w:pPr>
            <w:r w:rsidRPr="00C25C7F">
              <w:rPr>
                <w:lang w:val="fr-FR"/>
              </w:rPr>
              <w:t>2. Direction pédagogique</w:t>
            </w:r>
          </w:p>
          <w:p w:rsidR="009063B1" w:rsidRPr="00C25C7F" w:rsidRDefault="009063B1" w:rsidP="009063B1">
            <w:pPr>
              <w:rPr>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Charte/ Principes directeurs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La direction de l’enseignement spécialisé veille à l’application de la Charte et des principes directeurs communs.</w:t>
            </w:r>
            <w:r w:rsidRPr="00C25C7F">
              <w:rPr>
                <w:rStyle w:val="Funotenzeichen"/>
                <w:rFonts w:ascii="Arial" w:hAnsi="Arial" w:cs="Arial"/>
                <w:color w:val="000000"/>
                <w:szCs w:val="22"/>
                <w:lang w:val="fr-FR" w:eastAsia="en-US"/>
              </w:rPr>
              <w:t xml:space="preserve"> </w:t>
            </w:r>
            <w:r w:rsidRPr="00C25C7F">
              <w:rPr>
                <w:rStyle w:val="Endnotenzeichen"/>
                <w:rFonts w:ascii="Arial" w:hAnsi="Arial" w:cs="Arial"/>
                <w:color w:val="000000"/>
                <w:szCs w:val="22"/>
                <w:lang w:val="fr-FR"/>
              </w:rPr>
              <w:t>2</w:t>
            </w:r>
          </w:p>
          <w:p w:rsidR="009063B1" w:rsidRPr="00C25C7F" w:rsidRDefault="009063B1" w:rsidP="009063B1">
            <w:pPr>
              <w:widowControl w:val="0"/>
              <w:rPr>
                <w:rFonts w:ascii="Arial" w:hAnsi="Arial" w:cs="Arial"/>
                <w:color w:val="000000"/>
                <w:szCs w:val="22"/>
                <w:lang w:val="fr-FR"/>
              </w:rPr>
            </w:pPr>
          </w:p>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A cet effet, elle définit périodiquement des objectifs à atteindre dans le cadre de l’enseignement spécialisé et en vérifie la réalisation.</w:t>
            </w:r>
          </w:p>
          <w:p w:rsidR="009063B1" w:rsidRPr="00C25C7F" w:rsidRDefault="009063B1" w:rsidP="009063B1">
            <w:pPr>
              <w:widowControl w:val="0"/>
              <w:rPr>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Conventions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La direction de l’enseignement spécialisé applique des conventions et des règles sur l’organisation de l’enseignement dans les domaines particuliers de l’enseignement spécialisé.</w:t>
            </w:r>
          </w:p>
          <w:p w:rsidR="009063B1" w:rsidRPr="00C25C7F" w:rsidRDefault="009063B1" w:rsidP="009063B1">
            <w:pPr>
              <w:widowControl w:val="0"/>
              <w:rPr>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p w:rsidR="009063B1" w:rsidRPr="00C25C7F" w:rsidRDefault="009063B1" w:rsidP="009063B1">
            <w:pPr>
              <w:rPr>
                <w:lang w:val="fr-FR"/>
              </w:rPr>
            </w:pP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w:t>
            </w:r>
          </w:p>
          <w:p w:rsidR="009063B1" w:rsidRPr="00C25C7F" w:rsidRDefault="009063B1" w:rsidP="009063B1">
            <w:pPr>
              <w:widowControl w:val="0"/>
              <w:rPr>
                <w:rFonts w:ascii="Arial" w:hAnsi="Arial" w:cs="Arial"/>
                <w:color w:val="000000"/>
                <w:szCs w:val="22"/>
                <w:lang w:val="fr-FR"/>
              </w:rPr>
            </w:pPr>
          </w:p>
        </w:tc>
      </w:tr>
      <w:tr w:rsidR="009063B1" w:rsidRPr="003607C9">
        <w:trPr>
          <w:cantSplit/>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tcPr>
          <w:p w:rsidR="009063B1" w:rsidRPr="00C25C7F" w:rsidRDefault="009063B1" w:rsidP="009063B1">
            <w:pPr>
              <w:pStyle w:val="berschrift6"/>
              <w:rPr>
                <w:lang w:val="fr-FR"/>
              </w:rPr>
            </w:pPr>
            <w:r w:rsidRPr="00C25C7F">
              <w:rPr>
                <w:lang w:val="fr-FR"/>
              </w:rPr>
              <w:t>3. Développement et contrôle de la qualité</w:t>
            </w:r>
          </w:p>
          <w:p w:rsidR="009063B1" w:rsidRPr="00C25C7F" w:rsidRDefault="009063B1" w:rsidP="009063B1">
            <w:pPr>
              <w:rPr>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Gestion de la qualité</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La direction de l’enseignement spécialisé est responsable de la mise en œuvre de la gestion de la qualité dans l’enseignement spécialisé.</w:t>
            </w:r>
          </w:p>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lastRenderedPageBreak/>
              <w:t xml:space="preserve">Elle fixe des objectifs et des mesures à cet égard d’entente avec les membres du corps enseignant spécialisé. </w:t>
            </w:r>
          </w:p>
          <w:p w:rsidR="009063B1" w:rsidRPr="00C25C7F" w:rsidRDefault="009063B1" w:rsidP="009063B1">
            <w:pPr>
              <w:widowControl w:val="0"/>
              <w:rPr>
                <w:rFonts w:ascii="Arial" w:hAnsi="Arial" w:cs="Arial"/>
                <w:color w:val="000000"/>
                <w:szCs w:val="22"/>
                <w:lang w:val="fr-FR"/>
              </w:rPr>
            </w:pPr>
          </w:p>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Elle surveille leur mise en œuvre et engage les mesures d’accompagnement nécessaires. </w:t>
            </w:r>
          </w:p>
          <w:p w:rsidR="009063B1" w:rsidRPr="00C25C7F" w:rsidRDefault="009063B1" w:rsidP="009063B1">
            <w:pPr>
              <w:widowControl w:val="0"/>
              <w:rPr>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lastRenderedPageBreak/>
              <w:t>Coordination</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La direction de l’enseignement spécialisé coordonne la gestion de la qualité avec la direction de l’école </w:t>
            </w:r>
            <w:r>
              <w:rPr>
                <w:rFonts w:ascii="Arial" w:hAnsi="Arial" w:cs="Arial"/>
                <w:color w:val="000000"/>
                <w:szCs w:val="22"/>
                <w:lang w:val="fr-FR"/>
              </w:rPr>
              <w:t>régulière</w:t>
            </w:r>
            <w:r w:rsidRPr="00C25C7F">
              <w:rPr>
                <w:rFonts w:ascii="Arial" w:hAnsi="Arial" w:cs="Arial"/>
                <w:color w:val="000000"/>
                <w:szCs w:val="22"/>
                <w:lang w:val="fr-FR"/>
              </w:rPr>
              <w:t xml:space="preserve">. </w:t>
            </w:r>
          </w:p>
          <w:p w:rsidR="009063B1" w:rsidRPr="00C25C7F" w:rsidRDefault="009063B1" w:rsidP="009063B1">
            <w:pPr>
              <w:widowControl w:val="0"/>
              <w:rPr>
                <w:rFonts w:ascii="Arial" w:hAnsi="Arial" w:cs="Arial"/>
                <w:color w:val="000000"/>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szCs w:val="22"/>
                <w:lang w:val="fr-FR"/>
              </w:rPr>
            </w:pPr>
            <w:r w:rsidRPr="00C25C7F">
              <w:rPr>
                <w:szCs w:val="22"/>
                <w:lang w:val="fr-FR"/>
              </w:rPr>
              <w:t>…</w:t>
            </w:r>
          </w:p>
          <w:p w:rsidR="009063B1" w:rsidRPr="00C25C7F" w:rsidRDefault="009063B1" w:rsidP="009063B1">
            <w:pPr>
              <w:widowControl w:val="0"/>
              <w:autoSpaceDE w:val="0"/>
              <w:autoSpaceDN w:val="0"/>
              <w:adjustRightInd w:val="0"/>
              <w:rPr>
                <w:szCs w:val="22"/>
                <w:lang w:val="fr-FR"/>
              </w:rPr>
            </w:pPr>
          </w:p>
        </w:tc>
      </w:tr>
      <w:tr w:rsidR="009063B1" w:rsidRPr="00C25C7F">
        <w:trPr>
          <w:cantSplit/>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tcPr>
          <w:p w:rsidR="009063B1" w:rsidRPr="00C25C7F" w:rsidRDefault="009063B1" w:rsidP="009063B1">
            <w:pPr>
              <w:pStyle w:val="berschrift6"/>
              <w:rPr>
                <w:lang w:val="fr-FR"/>
              </w:rPr>
            </w:pPr>
            <w:r w:rsidRPr="00C25C7F">
              <w:rPr>
                <w:lang w:val="fr-FR"/>
              </w:rPr>
              <w:t>4. Organisation et administration</w:t>
            </w:r>
          </w:p>
          <w:p w:rsidR="009063B1" w:rsidRPr="00C25C7F" w:rsidRDefault="009063B1" w:rsidP="009063B1">
            <w:pPr>
              <w:rPr>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Administration</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La direction de l’enseignement spécialisé accomplit les tâches administratives qui lui incombent (communication des programmes d’enseignement, statistiques, offres d’emploi, etc.) conformément à la LEO, à l’OSE et aux instructions éventuelles de la commission scolaire ou de la commission de l’enseignement spécialisé.</w:t>
            </w:r>
          </w:p>
          <w:p w:rsidR="009063B1" w:rsidRPr="00C25C7F" w:rsidRDefault="009063B1" w:rsidP="009063B1">
            <w:pPr>
              <w:widowControl w:val="0"/>
              <w:rPr>
                <w:rFonts w:ascii="Arial" w:hAnsi="Arial" w:cs="Arial"/>
                <w:color w:val="000000"/>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Organisation</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Default"/>
              <w:rPr>
                <w:rFonts w:cs="Helv"/>
                <w:sz w:val="22"/>
                <w:szCs w:val="22"/>
                <w:lang w:val="fr-FR"/>
              </w:rPr>
            </w:pPr>
            <w:r w:rsidRPr="00C25C7F">
              <w:rPr>
                <w:rFonts w:cs="Helv"/>
                <w:sz w:val="22"/>
                <w:szCs w:val="22"/>
                <w:lang w:val="fr-FR"/>
              </w:rPr>
              <w:t xml:space="preserve">La direction de l’enseignement spécialisé organise et coordonne l’enseignement spécialisé qui relève de son domaine de compétence. </w:t>
            </w:r>
          </w:p>
          <w:p w:rsidR="009063B1" w:rsidRPr="00C25C7F" w:rsidRDefault="009063B1" w:rsidP="009063B1">
            <w:pPr>
              <w:pStyle w:val="Default"/>
              <w:rPr>
                <w:rFonts w:cs="Helv"/>
                <w:sz w:val="22"/>
                <w:szCs w:val="22"/>
                <w:lang w:val="fr-FR"/>
              </w:rPr>
            </w:pPr>
          </w:p>
          <w:p w:rsidR="009063B1" w:rsidRPr="00C25C7F" w:rsidRDefault="009063B1" w:rsidP="009063B1">
            <w:pPr>
              <w:widowControl w:val="0"/>
              <w:rPr>
                <w:rFonts w:cs="Helv"/>
                <w:szCs w:val="22"/>
                <w:lang w:val="fr-FR"/>
              </w:rPr>
            </w:pPr>
            <w:r w:rsidRPr="00C25C7F">
              <w:rPr>
                <w:rFonts w:cs="Helv"/>
                <w:szCs w:val="22"/>
                <w:lang w:val="fr-FR"/>
              </w:rPr>
              <w:t xml:space="preserve">Elle prend les mesures nécessaires pour que les élèves, les enseignants et enseignantes ainsi que les parents puissent avoir accès rapidement à l’enseignement spécialisé. </w:t>
            </w:r>
          </w:p>
          <w:p w:rsidR="009063B1" w:rsidRPr="00C25C7F" w:rsidRDefault="009063B1" w:rsidP="009063B1">
            <w:pPr>
              <w:pStyle w:val="Default"/>
              <w:rPr>
                <w:rFonts w:cs="Helv"/>
                <w:sz w:val="22"/>
                <w:szCs w:val="22"/>
                <w:lang w:val="fr-FR"/>
              </w:rPr>
            </w:pPr>
          </w:p>
          <w:p w:rsidR="009063B1" w:rsidRPr="00C25C7F" w:rsidRDefault="009063B1" w:rsidP="009063B1">
            <w:pPr>
              <w:pStyle w:val="Default"/>
              <w:rPr>
                <w:rFonts w:cs="Helv"/>
                <w:sz w:val="22"/>
                <w:szCs w:val="22"/>
                <w:lang w:val="fr-FR"/>
              </w:rPr>
            </w:pPr>
            <w:r w:rsidRPr="00C25C7F">
              <w:rPr>
                <w:rFonts w:cs="Helv"/>
                <w:sz w:val="22"/>
                <w:szCs w:val="22"/>
                <w:lang w:val="fr-FR"/>
              </w:rPr>
              <w:t xml:space="preserve">Elle vérifie l’opportunité de solutions éventuelles de formations et de lieux d’enseignement centralisés. </w:t>
            </w:r>
          </w:p>
          <w:p w:rsidR="009063B1" w:rsidRPr="00C25C7F" w:rsidRDefault="009063B1" w:rsidP="009063B1">
            <w:pPr>
              <w:pStyle w:val="Default"/>
              <w:rPr>
                <w:rFonts w:cs="Helv"/>
                <w:sz w:val="22"/>
                <w:szCs w:val="22"/>
                <w:lang w:val="fr-FR"/>
              </w:rPr>
            </w:pPr>
          </w:p>
          <w:p w:rsidR="009063B1" w:rsidRPr="00C25C7F" w:rsidRDefault="009063B1" w:rsidP="009063B1">
            <w:pPr>
              <w:pStyle w:val="Default"/>
              <w:rPr>
                <w:rFonts w:cs="Helv"/>
                <w:i/>
                <w:sz w:val="20"/>
                <w:szCs w:val="20"/>
                <w:lang w:val="fr-FR"/>
              </w:rPr>
            </w:pPr>
            <w:r w:rsidRPr="00C25C7F">
              <w:rPr>
                <w:rFonts w:cs="Helv"/>
                <w:i/>
                <w:sz w:val="20"/>
                <w:szCs w:val="20"/>
                <w:lang w:val="fr-FR"/>
              </w:rPr>
              <w:t xml:space="preserve">Organisation de l’enseignement spécialisé en cas de collaboration intercommunale : </w:t>
            </w:r>
          </w:p>
          <w:p w:rsidR="009063B1" w:rsidRPr="00C25C7F" w:rsidRDefault="009063B1" w:rsidP="009063B1">
            <w:pPr>
              <w:pStyle w:val="Default"/>
              <w:rPr>
                <w:rFonts w:cs="Helv"/>
                <w:sz w:val="22"/>
                <w:szCs w:val="22"/>
                <w:lang w:val="fr-FR"/>
              </w:rPr>
            </w:pPr>
            <w:r w:rsidRPr="00C25C7F">
              <w:rPr>
                <w:rFonts w:cs="Helv"/>
                <w:sz w:val="22"/>
                <w:szCs w:val="22"/>
                <w:lang w:val="fr-FR"/>
              </w:rPr>
              <w:t xml:space="preserve">Elle pourvoit à une couverture adéquate des besoins d’enseignement spécialisé dans les communes réunies en syndicats. </w:t>
            </w:r>
          </w:p>
          <w:p w:rsidR="009063B1" w:rsidRPr="00C25C7F" w:rsidRDefault="009063B1" w:rsidP="009063B1">
            <w:pPr>
              <w:pStyle w:val="Default"/>
              <w:rPr>
                <w:rFonts w:cs="Helv"/>
                <w:sz w:val="22"/>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Finances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La direction de l’enseignement spécialisé prépare le budget et s’assure qu’il est respecté. </w:t>
            </w:r>
          </w:p>
          <w:p w:rsidR="009063B1" w:rsidRPr="00C25C7F" w:rsidRDefault="009063B1" w:rsidP="009063B1">
            <w:pPr>
              <w:widowControl w:val="0"/>
              <w:rPr>
                <w:rFonts w:ascii="Arial" w:hAnsi="Arial" w:cs="Arial"/>
                <w:color w:val="000000"/>
                <w:szCs w:val="22"/>
                <w:lang w:val="fr-FR"/>
              </w:rPr>
            </w:pPr>
          </w:p>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Elle organise l’attribution des ressources aux divers membres du corps enseignant spécialisé et se charge du contrôle des dépenses. </w:t>
            </w:r>
          </w:p>
          <w:p w:rsidR="009063B1" w:rsidRPr="00C25C7F" w:rsidRDefault="009063B1" w:rsidP="009063B1">
            <w:pPr>
              <w:widowControl w:val="0"/>
              <w:rPr>
                <w:rFonts w:ascii="Arial" w:hAnsi="Arial" w:cs="Arial"/>
                <w:color w:val="000000"/>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Participation à des séances et conférences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Default"/>
              <w:rPr>
                <w:rFonts w:cs="Times New Roman"/>
                <w:color w:val="auto"/>
                <w:sz w:val="22"/>
                <w:szCs w:val="22"/>
                <w:lang w:val="fr-FR"/>
              </w:rPr>
            </w:pPr>
            <w:r w:rsidRPr="00C25C7F">
              <w:rPr>
                <w:sz w:val="22"/>
                <w:szCs w:val="22"/>
                <w:lang w:val="fr-FR"/>
              </w:rPr>
              <w:t xml:space="preserve">La direction de l’enseignement spécialisé prend part aux séances de la commission scolaire ou de la commission de l’enseignement spécialisé avec voix consultative. </w:t>
            </w:r>
          </w:p>
          <w:p w:rsidR="009063B1" w:rsidRPr="00C25C7F" w:rsidRDefault="009063B1" w:rsidP="009063B1">
            <w:pPr>
              <w:pStyle w:val="Default"/>
              <w:rPr>
                <w:sz w:val="22"/>
                <w:szCs w:val="22"/>
                <w:lang w:val="fr-FR"/>
              </w:rPr>
            </w:pPr>
          </w:p>
          <w:p w:rsidR="009063B1" w:rsidRPr="00C25C7F" w:rsidRDefault="009063B1" w:rsidP="009063B1">
            <w:pPr>
              <w:pStyle w:val="Default"/>
              <w:rPr>
                <w:sz w:val="22"/>
                <w:szCs w:val="22"/>
                <w:lang w:val="fr-FR"/>
              </w:rPr>
            </w:pPr>
            <w:r w:rsidRPr="00C25C7F">
              <w:rPr>
                <w:sz w:val="22"/>
                <w:szCs w:val="22"/>
                <w:lang w:val="fr-FR"/>
              </w:rPr>
              <w:t>Elle représente les intérêts des membres du corps enseignant spécialisé dans la commission scolaire ou la commission de l’enseignement spécialisé.</w:t>
            </w:r>
          </w:p>
          <w:p w:rsidR="009063B1" w:rsidRPr="00C25C7F" w:rsidRDefault="009063B1" w:rsidP="009063B1">
            <w:pPr>
              <w:widowControl w:val="0"/>
              <w:jc w:val="both"/>
              <w:rPr>
                <w:szCs w:val="22"/>
                <w:lang w:val="fr-FR"/>
              </w:rPr>
            </w:pPr>
          </w:p>
          <w:p w:rsidR="009063B1" w:rsidRPr="00C25C7F" w:rsidRDefault="009063B1" w:rsidP="009063B1">
            <w:pPr>
              <w:widowControl w:val="0"/>
              <w:jc w:val="both"/>
              <w:rPr>
                <w:szCs w:val="22"/>
                <w:lang w:val="fr-FR"/>
              </w:rPr>
            </w:pPr>
            <w:r w:rsidRPr="00C25C7F">
              <w:rPr>
                <w:szCs w:val="22"/>
                <w:lang w:val="fr-FR"/>
              </w:rPr>
              <w:t>Elle prend</w:t>
            </w:r>
            <w:r>
              <w:rPr>
                <w:szCs w:val="22"/>
                <w:lang w:val="fr-FR"/>
              </w:rPr>
              <w:t xml:space="preserve"> </w:t>
            </w:r>
            <w:r w:rsidRPr="00C25C7F">
              <w:rPr>
                <w:szCs w:val="22"/>
                <w:lang w:val="fr-FR"/>
              </w:rPr>
              <w:t>part à d</w:t>
            </w:r>
            <w:r>
              <w:rPr>
                <w:szCs w:val="22"/>
                <w:lang w:val="fr-FR"/>
              </w:rPr>
              <w:t xml:space="preserve">’éventuelles </w:t>
            </w:r>
            <w:r w:rsidRPr="00C25C7F">
              <w:rPr>
                <w:szCs w:val="22"/>
                <w:lang w:val="fr-FR"/>
              </w:rPr>
              <w:t xml:space="preserve">conférences destinées à l’ensemble </w:t>
            </w:r>
            <w:r>
              <w:rPr>
                <w:szCs w:val="22"/>
                <w:lang w:val="fr-FR"/>
              </w:rPr>
              <w:t>des d</w:t>
            </w:r>
            <w:r w:rsidRPr="00C25C7F">
              <w:rPr>
                <w:szCs w:val="22"/>
                <w:lang w:val="fr-FR"/>
              </w:rPr>
              <w:t>irection</w:t>
            </w:r>
            <w:r>
              <w:rPr>
                <w:szCs w:val="22"/>
                <w:lang w:val="fr-FR"/>
              </w:rPr>
              <w:t>s</w:t>
            </w:r>
            <w:r w:rsidRPr="00C25C7F">
              <w:rPr>
                <w:szCs w:val="22"/>
                <w:lang w:val="fr-FR"/>
              </w:rPr>
              <w:t xml:space="preserve"> d</w:t>
            </w:r>
            <w:r>
              <w:rPr>
                <w:szCs w:val="22"/>
                <w:lang w:val="fr-FR"/>
              </w:rPr>
              <w:t xml:space="preserve">’école du syndicat de communes </w:t>
            </w:r>
            <w:r w:rsidRPr="00C25C7F">
              <w:rPr>
                <w:szCs w:val="22"/>
                <w:lang w:val="fr-FR"/>
              </w:rPr>
              <w:t xml:space="preserve">propre à l’enseignement spécialisé. </w:t>
            </w:r>
          </w:p>
          <w:p w:rsidR="009063B1" w:rsidRPr="00C25C7F" w:rsidRDefault="009063B1" w:rsidP="009063B1">
            <w:pPr>
              <w:pStyle w:val="Default"/>
              <w:rPr>
                <w:sz w:val="22"/>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Dossiers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Elle est responsable de la conservation </w:t>
            </w:r>
            <w:r>
              <w:rPr>
                <w:rFonts w:ascii="Arial" w:hAnsi="Arial" w:cs="Arial"/>
                <w:color w:val="000000"/>
                <w:szCs w:val="22"/>
                <w:lang w:val="fr-FR"/>
              </w:rPr>
              <w:t xml:space="preserve">conforme </w:t>
            </w:r>
            <w:r w:rsidRPr="00C25C7F">
              <w:rPr>
                <w:rFonts w:ascii="Arial" w:hAnsi="Arial" w:cs="Arial"/>
                <w:color w:val="000000"/>
                <w:szCs w:val="22"/>
                <w:lang w:val="fr-FR"/>
              </w:rPr>
              <w:t xml:space="preserve">des dossiers. </w:t>
            </w:r>
          </w:p>
          <w:p w:rsidR="009063B1" w:rsidRPr="00C25C7F" w:rsidRDefault="009063B1" w:rsidP="009063B1">
            <w:pPr>
              <w:widowControl w:val="0"/>
              <w:rPr>
                <w:rFonts w:ascii="Arial" w:hAnsi="Arial" w:cs="Arial"/>
                <w:color w:val="000000"/>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szCs w:val="22"/>
                <w:lang w:val="fr-FR"/>
              </w:rPr>
            </w:pPr>
            <w:r w:rsidRPr="00C25C7F">
              <w:rPr>
                <w:szCs w:val="22"/>
                <w:lang w:val="fr-FR"/>
              </w:rPr>
              <w:t>…</w:t>
            </w:r>
          </w:p>
          <w:p w:rsidR="009063B1" w:rsidRPr="00C25C7F" w:rsidRDefault="009063B1" w:rsidP="009063B1">
            <w:pPr>
              <w:widowControl w:val="0"/>
              <w:autoSpaceDE w:val="0"/>
              <w:autoSpaceDN w:val="0"/>
              <w:adjustRightInd w:val="0"/>
              <w:rPr>
                <w:szCs w:val="22"/>
                <w:lang w:val="fr-FR"/>
              </w:rPr>
            </w:pPr>
          </w:p>
        </w:tc>
      </w:tr>
      <w:tr w:rsidR="009063B1" w:rsidRPr="003607C9">
        <w:trPr>
          <w:cantSplit/>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tcPr>
          <w:p w:rsidR="009063B1" w:rsidRPr="00C25C7F" w:rsidRDefault="009063B1" w:rsidP="009063B1">
            <w:pPr>
              <w:pStyle w:val="berschrift6"/>
              <w:rPr>
                <w:lang w:val="fr-FR"/>
              </w:rPr>
            </w:pPr>
            <w:r w:rsidRPr="00C25C7F">
              <w:rPr>
                <w:lang w:val="fr-FR"/>
              </w:rPr>
              <w:lastRenderedPageBreak/>
              <w:t>5. Travail d’information et de relations publiques</w:t>
            </w:r>
          </w:p>
          <w:p w:rsidR="009063B1" w:rsidRPr="00C25C7F" w:rsidRDefault="009063B1" w:rsidP="009063B1">
            <w:pPr>
              <w:rPr>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Information/ Communication</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 xml:space="preserve">La direction de l’enseignement spécialisé </w:t>
            </w:r>
            <w:r>
              <w:rPr>
                <w:rFonts w:ascii="Arial" w:hAnsi="Arial" w:cs="Arial"/>
                <w:color w:val="000000"/>
                <w:szCs w:val="22"/>
                <w:lang w:val="fr-FR"/>
              </w:rPr>
              <w:t xml:space="preserve">met en application </w:t>
            </w:r>
            <w:r w:rsidRPr="00C25C7F">
              <w:rPr>
                <w:rFonts w:ascii="Arial" w:hAnsi="Arial" w:cs="Arial"/>
                <w:color w:val="000000"/>
                <w:szCs w:val="22"/>
                <w:lang w:val="fr-FR"/>
              </w:rPr>
              <w:t xml:space="preserve">le concept de communication. </w:t>
            </w:r>
            <w:r w:rsidRPr="00C25C7F">
              <w:rPr>
                <w:rStyle w:val="Endnotenzeichen"/>
                <w:rFonts w:ascii="Arial" w:hAnsi="Arial" w:cs="Arial"/>
                <w:color w:val="000000"/>
                <w:szCs w:val="22"/>
                <w:lang w:val="fr-FR"/>
              </w:rPr>
              <w:t>2</w:t>
            </w:r>
          </w:p>
          <w:p w:rsidR="009063B1" w:rsidRPr="00C25C7F" w:rsidRDefault="009063B1" w:rsidP="009063B1">
            <w:pPr>
              <w:autoSpaceDE w:val="0"/>
              <w:autoSpaceDN w:val="0"/>
              <w:adjustRightInd w:val="0"/>
              <w:rPr>
                <w:rFonts w:ascii="Arial" w:hAnsi="Arial" w:cs="Arial"/>
                <w:color w:val="000000"/>
                <w:szCs w:val="22"/>
                <w:lang w:val="fr-FR"/>
              </w:rPr>
            </w:pPr>
          </w:p>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 xml:space="preserve">Elle est responsable de l’information et de la communication internes et externes. </w:t>
            </w:r>
          </w:p>
          <w:p w:rsidR="009063B1" w:rsidRPr="00C25C7F" w:rsidRDefault="009063B1" w:rsidP="009063B1">
            <w:pPr>
              <w:autoSpaceDE w:val="0"/>
              <w:autoSpaceDN w:val="0"/>
              <w:adjustRightInd w:val="0"/>
              <w:rPr>
                <w:rFonts w:ascii="Arial" w:hAnsi="Arial" w:cs="Arial"/>
                <w:color w:val="000000"/>
                <w:szCs w:val="22"/>
                <w:lang w:val="fr-FR"/>
              </w:rPr>
            </w:pPr>
            <w:r w:rsidRPr="00C25C7F">
              <w:rPr>
                <w:rFonts w:ascii="Arial" w:hAnsi="Arial" w:cs="Arial"/>
                <w:color w:val="000000"/>
                <w:szCs w:val="22"/>
                <w:lang w:val="fr-FR"/>
              </w:rPr>
              <w:t xml:space="preserve"> </w:t>
            </w:r>
          </w:p>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 xml:space="preserve">Elle veille à la transmission des informations aux directions d’écoles de l’enseignement </w:t>
            </w:r>
            <w:r>
              <w:rPr>
                <w:rFonts w:ascii="Arial" w:hAnsi="Arial" w:cs="Arial"/>
                <w:color w:val="000000"/>
                <w:szCs w:val="22"/>
                <w:lang w:val="fr-FR"/>
              </w:rPr>
              <w:t xml:space="preserve">régulier </w:t>
            </w:r>
            <w:r w:rsidRPr="00C25C7F">
              <w:rPr>
                <w:rFonts w:ascii="Arial" w:hAnsi="Arial" w:cs="Arial"/>
                <w:color w:val="000000"/>
                <w:szCs w:val="22"/>
                <w:lang w:val="fr-FR"/>
              </w:rPr>
              <w:t xml:space="preserve">et aux autorités. </w:t>
            </w:r>
          </w:p>
          <w:p w:rsidR="009063B1" w:rsidRPr="00C25C7F" w:rsidRDefault="009063B1" w:rsidP="009063B1">
            <w:pPr>
              <w:widowControl w:val="0"/>
              <w:rPr>
                <w:rFonts w:ascii="Arial" w:hAnsi="Arial" w:cs="Arial"/>
                <w:color w:val="000000"/>
                <w:szCs w:val="22"/>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Relations publiques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rPr>
                <w:rFonts w:ascii="Arial" w:hAnsi="Arial" w:cs="Arial"/>
                <w:color w:val="000000"/>
                <w:szCs w:val="22"/>
                <w:lang w:val="fr-FR"/>
              </w:rPr>
            </w:pPr>
            <w:r w:rsidRPr="00C25C7F">
              <w:rPr>
                <w:rFonts w:ascii="Arial" w:hAnsi="Arial" w:cs="Arial"/>
                <w:color w:val="000000"/>
                <w:szCs w:val="22"/>
                <w:lang w:val="fr-FR"/>
              </w:rPr>
              <w:t>Elle planifie le travail de relations publiques et en assure la mise en œuvre.</w:t>
            </w:r>
          </w:p>
          <w:p w:rsidR="009063B1" w:rsidRPr="00C25C7F" w:rsidRDefault="009063B1" w:rsidP="009063B1">
            <w:pPr>
              <w:widowControl w:val="0"/>
              <w:rPr>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szCs w:val="22"/>
                <w:lang w:val="fr-FR"/>
              </w:rPr>
            </w:pPr>
            <w:r w:rsidRPr="00C25C7F">
              <w:rPr>
                <w:szCs w:val="22"/>
                <w:lang w:val="fr-FR"/>
              </w:rPr>
              <w:t>…</w:t>
            </w:r>
          </w:p>
          <w:p w:rsidR="009063B1" w:rsidRPr="00C25C7F" w:rsidRDefault="009063B1" w:rsidP="009063B1">
            <w:pPr>
              <w:widowControl w:val="0"/>
              <w:autoSpaceDE w:val="0"/>
              <w:autoSpaceDN w:val="0"/>
              <w:adjustRightInd w:val="0"/>
              <w:rPr>
                <w:szCs w:val="22"/>
                <w:lang w:val="fr-FR"/>
              </w:rPr>
            </w:pPr>
          </w:p>
        </w:tc>
      </w:tr>
      <w:tr w:rsidR="009063B1" w:rsidRPr="00C25C7F">
        <w:trPr>
          <w:cantSplit/>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tcPr>
          <w:p w:rsidR="009063B1" w:rsidRPr="00C25C7F" w:rsidRDefault="009063B1" w:rsidP="009063B1">
            <w:pPr>
              <w:pStyle w:val="berschrift6"/>
              <w:rPr>
                <w:lang w:val="fr-FR"/>
              </w:rPr>
            </w:pPr>
            <w:r w:rsidRPr="00C25C7F">
              <w:rPr>
                <w:lang w:val="fr-FR"/>
              </w:rPr>
              <w:t>6. Autres tâches et compétences</w:t>
            </w:r>
          </w:p>
          <w:p w:rsidR="009063B1" w:rsidRPr="00C25C7F" w:rsidRDefault="009063B1" w:rsidP="009063B1">
            <w:pPr>
              <w:rPr>
                <w:lang w:val="fr-FR"/>
              </w:rPr>
            </w:pPr>
          </w:p>
        </w:tc>
      </w:tr>
      <w:tr w:rsidR="009063B1" w:rsidRPr="003607C9">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Mandats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autoSpaceDE w:val="0"/>
              <w:autoSpaceDN w:val="0"/>
              <w:adjustRightInd w:val="0"/>
              <w:rPr>
                <w:rFonts w:ascii="Arial" w:hAnsi="Arial" w:cs="Arial"/>
                <w:sz w:val="20"/>
                <w:lang w:val="fr-FR" w:eastAsia="en-US"/>
              </w:rPr>
            </w:pPr>
            <w:r w:rsidRPr="00C25C7F">
              <w:rPr>
                <w:rFonts w:ascii="Arial" w:hAnsi="Arial" w:cs="Arial"/>
                <w:szCs w:val="22"/>
                <w:lang w:val="fr-FR" w:eastAsia="en-US"/>
              </w:rPr>
              <w:t xml:space="preserve">La direction de l’enseignement spécialisé participe au projet xx, comité xx, cercle de travail xx, institution xx. </w:t>
            </w:r>
          </w:p>
          <w:p w:rsidR="009063B1" w:rsidRPr="00C25C7F" w:rsidRDefault="009063B1" w:rsidP="009063B1">
            <w:pPr>
              <w:widowControl w:val="0"/>
              <w:rPr>
                <w:szCs w:val="22"/>
                <w:lang w:val="fr-FR"/>
              </w:rPr>
            </w:pPr>
          </w:p>
        </w:tc>
      </w:tr>
      <w:tr w:rsidR="009063B1" w:rsidRPr="00C25C7F">
        <w:tc>
          <w:tcPr>
            <w:tcW w:w="1986"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pStyle w:val="berschrift1"/>
              <w:keepNext w:val="0"/>
              <w:widowControl w:val="0"/>
              <w:rPr>
                <w:sz w:val="22"/>
                <w:lang w:val="fr-FR"/>
              </w:rPr>
            </w:pPr>
            <w:r w:rsidRPr="00C25C7F">
              <w:rPr>
                <w:sz w:val="22"/>
                <w:lang w:val="fr-FR"/>
              </w:rPr>
              <w:t>Autres</w:t>
            </w:r>
          </w:p>
        </w:tc>
        <w:tc>
          <w:tcPr>
            <w:tcW w:w="7512" w:type="dxa"/>
            <w:tcBorders>
              <w:top w:val="single" w:sz="4" w:space="0" w:color="auto"/>
              <w:left w:val="single" w:sz="4" w:space="0" w:color="auto"/>
              <w:bottom w:val="single" w:sz="4" w:space="0" w:color="auto"/>
              <w:right w:val="single" w:sz="4" w:space="0" w:color="auto"/>
            </w:tcBorders>
          </w:tcPr>
          <w:p w:rsidR="009063B1" w:rsidRPr="00C25C7F" w:rsidRDefault="009063B1" w:rsidP="009063B1">
            <w:pPr>
              <w:widowControl w:val="0"/>
              <w:autoSpaceDE w:val="0"/>
              <w:autoSpaceDN w:val="0"/>
              <w:adjustRightInd w:val="0"/>
              <w:rPr>
                <w:szCs w:val="22"/>
                <w:lang w:val="fr-FR"/>
              </w:rPr>
            </w:pPr>
            <w:r w:rsidRPr="00C25C7F">
              <w:rPr>
                <w:szCs w:val="22"/>
                <w:lang w:val="fr-FR"/>
              </w:rPr>
              <w:t>…</w:t>
            </w:r>
          </w:p>
          <w:p w:rsidR="009063B1" w:rsidRPr="00C25C7F" w:rsidRDefault="009063B1" w:rsidP="009063B1">
            <w:pPr>
              <w:widowControl w:val="0"/>
              <w:autoSpaceDE w:val="0"/>
              <w:autoSpaceDN w:val="0"/>
              <w:adjustRightInd w:val="0"/>
              <w:rPr>
                <w:szCs w:val="22"/>
                <w:lang w:val="fr-FR"/>
              </w:rPr>
            </w:pPr>
          </w:p>
        </w:tc>
      </w:tr>
      <w:tr w:rsidR="009063B1" w:rsidRPr="00C25C7F">
        <w:trPr>
          <w:cantSplit/>
        </w:trPr>
        <w:tc>
          <w:tcPr>
            <w:tcW w:w="9498" w:type="dxa"/>
            <w:gridSpan w:val="2"/>
            <w:shd w:val="clear" w:color="auto" w:fill="auto"/>
          </w:tcPr>
          <w:p w:rsidR="009063B1" w:rsidRPr="00C25C7F" w:rsidRDefault="009063B1" w:rsidP="009063B1">
            <w:pPr>
              <w:pStyle w:val="berschrift6"/>
              <w:rPr>
                <w:i/>
                <w:sz w:val="24"/>
                <w:szCs w:val="24"/>
                <w:lang w:val="fr-FR"/>
              </w:rPr>
            </w:pPr>
          </w:p>
          <w:p w:rsidR="009063B1" w:rsidRPr="00C25C7F" w:rsidRDefault="009063B1" w:rsidP="009063B1">
            <w:pPr>
              <w:pStyle w:val="berschrift6"/>
              <w:rPr>
                <w:i/>
                <w:sz w:val="24"/>
                <w:szCs w:val="24"/>
                <w:lang w:val="fr-FR"/>
              </w:rPr>
            </w:pPr>
            <w:r w:rsidRPr="00C25C7F">
              <w:rPr>
                <w:i/>
                <w:sz w:val="24"/>
                <w:szCs w:val="24"/>
                <w:lang w:val="fr-FR"/>
              </w:rPr>
              <w:t>Profil requis</w:t>
            </w:r>
          </w:p>
          <w:p w:rsidR="009063B1" w:rsidRPr="00C25C7F" w:rsidRDefault="009063B1" w:rsidP="009063B1">
            <w:pPr>
              <w:rPr>
                <w:lang w:val="fr-FR"/>
              </w:rPr>
            </w:pPr>
          </w:p>
        </w:tc>
      </w:tr>
      <w:tr w:rsidR="009063B1" w:rsidRPr="00C25C7F">
        <w:tc>
          <w:tcPr>
            <w:tcW w:w="9498" w:type="dxa"/>
            <w:gridSpan w:val="2"/>
            <w:tcBorders>
              <w:top w:val="single" w:sz="4" w:space="0" w:color="auto"/>
              <w:left w:val="single" w:sz="4" w:space="0" w:color="auto"/>
              <w:bottom w:val="single" w:sz="4" w:space="0" w:color="auto"/>
              <w:right w:val="single" w:sz="4" w:space="0" w:color="auto"/>
            </w:tcBorders>
          </w:tcPr>
          <w:p w:rsidR="009063B1" w:rsidRPr="00C25C7F" w:rsidRDefault="009063B1" w:rsidP="009063B1">
            <w:pPr>
              <w:tabs>
                <w:tab w:val="left" w:pos="2835"/>
                <w:tab w:val="left" w:pos="6237"/>
              </w:tabs>
              <w:ind w:left="2835" w:hanging="2835"/>
              <w:rPr>
                <w:lang w:val="fr-FR"/>
              </w:rPr>
            </w:pPr>
            <w:r w:rsidRPr="00C25C7F">
              <w:rPr>
                <w:lang w:val="fr-FR"/>
              </w:rPr>
              <w:t>Formation de base</w:t>
            </w:r>
            <w:r w:rsidRPr="00C25C7F">
              <w:rPr>
                <w:lang w:val="fr-FR"/>
              </w:rPr>
              <w:tab/>
            </w:r>
            <w:r w:rsidRPr="00C9070F">
              <w:rPr>
                <w:lang w:val="fr-FR"/>
              </w:rPr>
              <w:t>Formation pédagogique de base et formation complémentaire en enseignement spécialisé / pédagogie curative.</w:t>
            </w:r>
            <w:r w:rsidRPr="00C25C7F">
              <w:rPr>
                <w:lang w:val="fr-FR"/>
              </w:rPr>
              <w:t xml:space="preserve"> </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Formation continue</w:t>
            </w:r>
            <w:r w:rsidRPr="00C25C7F">
              <w:rPr>
                <w:lang w:val="fr-FR"/>
              </w:rPr>
              <w:tab/>
              <w:t>Formation à la direction d’école</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76"/>
              </w:tabs>
              <w:rPr>
                <w:lang w:val="fr-FR"/>
              </w:rPr>
            </w:pPr>
            <w:r w:rsidRPr="00C25C7F">
              <w:rPr>
                <w:lang w:val="fr-FR"/>
              </w:rPr>
              <w:t xml:space="preserve">Compétences </w:t>
            </w:r>
            <w:r>
              <w:rPr>
                <w:lang w:val="fr-FR"/>
              </w:rPr>
              <w:t>spécifiques</w:t>
            </w:r>
            <w:r w:rsidRPr="00C25C7F">
              <w:rPr>
                <w:lang w:val="fr-FR"/>
              </w:rPr>
              <w:tab/>
              <w:t>Bonnes connaissances du système de formation bernois, des pro-</w:t>
            </w:r>
            <w:r w:rsidRPr="00C25C7F">
              <w:rPr>
                <w:lang w:val="fr-FR"/>
              </w:rPr>
              <w:tab/>
              <w:t xml:space="preserve">cessus administratifs et politiques, aisance dans l’expression </w:t>
            </w:r>
            <w:r w:rsidRPr="00C25C7F">
              <w:rPr>
                <w:lang w:val="fr-FR"/>
              </w:rPr>
              <w:tab/>
              <w:t>écrite et orale, aptitude à diriger</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Langues</w:t>
            </w:r>
            <w:r w:rsidRPr="00C25C7F">
              <w:rPr>
                <w:lang w:val="fr-FR"/>
              </w:rPr>
              <w:tab/>
              <w:t>Bonnes connaissances des langues étrangères pas indispensables mais utiles</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Compétences sociales</w:t>
            </w:r>
            <w:r w:rsidRPr="00C25C7F">
              <w:rPr>
                <w:lang w:val="fr-FR"/>
              </w:rPr>
              <w:tab/>
              <w:t>Attitude ouverte et capacité à travailler en équipe, résistance au stress, aptitude à travailler de façon indépendante, capacité à communiquer</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Autres compétences</w:t>
            </w:r>
            <w:r w:rsidRPr="00C25C7F">
              <w:rPr>
                <w:lang w:val="fr-FR"/>
              </w:rPr>
              <w:tab/>
              <w:t>Bonnes connaissances des outils Microsoft Office</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Expérience professionnelle</w:t>
            </w:r>
            <w:r w:rsidRPr="00C25C7F">
              <w:rPr>
                <w:lang w:val="fr-FR"/>
              </w:rPr>
              <w:tab/>
              <w:t>Plusieurs années d’expérience dans le domaine scolaire et de l’enseignement spécialisé</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Expérience de direction</w:t>
            </w:r>
            <w:r w:rsidRPr="00C25C7F">
              <w:rPr>
                <w:lang w:val="fr-FR"/>
              </w:rPr>
              <w:tab/>
              <w:t>souhaitée</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t>Champ de responsabilités</w:t>
            </w:r>
            <w:r w:rsidRPr="00C25C7F">
              <w:rPr>
                <w:lang w:val="fr-FR"/>
              </w:rPr>
              <w:tab/>
              <w:t>étendu</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rPr>
                <w:lang w:val="fr-FR"/>
              </w:rPr>
            </w:pPr>
            <w:r w:rsidRPr="00C25C7F">
              <w:rPr>
                <w:lang w:val="fr-FR"/>
              </w:rPr>
              <w:t>Responsabilité en matière</w:t>
            </w:r>
            <w:r w:rsidRPr="00C25C7F">
              <w:rPr>
                <w:lang w:val="fr-FR"/>
              </w:rPr>
              <w:br/>
              <w:t>de direction :</w:t>
            </w:r>
            <w:r w:rsidRPr="00C25C7F">
              <w:rPr>
                <w:lang w:val="fr-FR"/>
              </w:rPr>
              <w:tab/>
            </w:r>
            <w:r w:rsidRPr="00C25C7F">
              <w:rPr>
                <w:lang w:val="fr-FR"/>
              </w:rPr>
              <w:tab/>
            </w:r>
            <w:r w:rsidRPr="00C25C7F">
              <w:rPr>
                <w:lang w:val="fr-FR"/>
              </w:rPr>
              <w:tab/>
              <w:t>importante</w:t>
            </w:r>
          </w:p>
          <w:p w:rsidR="009063B1" w:rsidRPr="00C25C7F" w:rsidRDefault="009063B1" w:rsidP="009063B1">
            <w:pPr>
              <w:tabs>
                <w:tab w:val="left" w:pos="2835"/>
                <w:tab w:val="left" w:pos="6237"/>
              </w:tabs>
              <w:ind w:left="2835" w:hanging="2835"/>
              <w:rPr>
                <w:lang w:val="fr-FR"/>
              </w:rPr>
            </w:pPr>
          </w:p>
          <w:p w:rsidR="009063B1" w:rsidRPr="00C25C7F" w:rsidRDefault="009063B1" w:rsidP="009063B1">
            <w:pPr>
              <w:tabs>
                <w:tab w:val="left" w:pos="2835"/>
                <w:tab w:val="left" w:pos="6237"/>
              </w:tabs>
              <w:ind w:left="2835" w:hanging="2835"/>
              <w:rPr>
                <w:lang w:val="fr-FR"/>
              </w:rPr>
            </w:pPr>
            <w:r w:rsidRPr="00C25C7F">
              <w:rPr>
                <w:lang w:val="fr-FR"/>
              </w:rPr>
              <w:lastRenderedPageBreak/>
              <w:t>Degré d’autonomie</w:t>
            </w:r>
            <w:r w:rsidRPr="00C25C7F">
              <w:rPr>
                <w:lang w:val="fr-FR"/>
              </w:rPr>
              <w:tab/>
              <w:t>élevé</w:t>
            </w:r>
          </w:p>
          <w:p w:rsidR="009063B1" w:rsidRPr="00C25C7F" w:rsidRDefault="009063B1" w:rsidP="009063B1">
            <w:pPr>
              <w:tabs>
                <w:tab w:val="left" w:pos="2835"/>
                <w:tab w:val="left" w:pos="6237"/>
              </w:tabs>
              <w:ind w:left="2835" w:hanging="2835"/>
              <w:rPr>
                <w:lang w:val="fr-FR"/>
              </w:rPr>
            </w:pPr>
            <w:r w:rsidRPr="00C25C7F">
              <w:rPr>
                <w:lang w:val="fr-FR"/>
              </w:rPr>
              <w:tab/>
            </w:r>
          </w:p>
        </w:tc>
      </w:tr>
    </w:tbl>
    <w:p w:rsidR="009063B1" w:rsidRPr="00C25C7F" w:rsidRDefault="009063B1" w:rsidP="009063B1">
      <w:pPr>
        <w:rPr>
          <w:lang w:val="fr-FR"/>
        </w:rPr>
      </w:pPr>
    </w:p>
    <w:p w:rsidR="009063B1" w:rsidRPr="00C25C7F" w:rsidRDefault="009063B1" w:rsidP="009063B1">
      <w:pPr>
        <w:rPr>
          <w:lang w:val="fr-FR"/>
        </w:rPr>
      </w:pPr>
    </w:p>
    <w:p w:rsidR="009063B1" w:rsidRPr="00C25C7F" w:rsidRDefault="009063B1" w:rsidP="009063B1">
      <w:pPr>
        <w:tabs>
          <w:tab w:val="left" w:pos="4253"/>
        </w:tabs>
        <w:rPr>
          <w:lang w:val="fr-FR"/>
        </w:rPr>
      </w:pPr>
      <w:r w:rsidRPr="00C25C7F">
        <w:rPr>
          <w:lang w:val="fr-FR"/>
        </w:rPr>
        <w:t>Xx, le xx. yyy. 200x</w:t>
      </w:r>
      <w:r w:rsidRPr="00C25C7F">
        <w:rPr>
          <w:lang w:val="fr-FR"/>
        </w:rPr>
        <w:tab/>
      </w:r>
    </w:p>
    <w:p w:rsidR="009063B1" w:rsidRPr="00C25C7F" w:rsidRDefault="009063B1" w:rsidP="009063B1">
      <w:pPr>
        <w:tabs>
          <w:tab w:val="left" w:pos="4253"/>
        </w:tabs>
        <w:rPr>
          <w:lang w:val="fr-FR"/>
        </w:rPr>
      </w:pPr>
    </w:p>
    <w:p w:rsidR="009063B1" w:rsidRPr="00C25C7F" w:rsidRDefault="009063B1" w:rsidP="009063B1">
      <w:pPr>
        <w:tabs>
          <w:tab w:val="left" w:pos="4253"/>
        </w:tabs>
        <w:rPr>
          <w:lang w:val="fr-FR"/>
        </w:rPr>
      </w:pPr>
      <w:r w:rsidRPr="00C25C7F">
        <w:rPr>
          <w:lang w:val="fr-FR"/>
        </w:rPr>
        <w:t>Le président / La présidente de la</w:t>
      </w:r>
    </w:p>
    <w:p w:rsidR="009063B1" w:rsidRPr="00C25C7F" w:rsidRDefault="009063B1" w:rsidP="009063B1">
      <w:pPr>
        <w:rPr>
          <w:b/>
          <w:lang w:val="fr-FR"/>
        </w:rPr>
      </w:pPr>
      <w:r w:rsidRPr="00C25C7F">
        <w:rPr>
          <w:b/>
          <w:lang w:val="fr-FR"/>
        </w:rPr>
        <w:t xml:space="preserve">Commission scolaire Xx / Commission de l’enseignement spécialisé </w:t>
      </w:r>
    </w:p>
    <w:p w:rsidR="009063B1" w:rsidRPr="00C25C7F" w:rsidRDefault="009063B1" w:rsidP="009063B1">
      <w:pPr>
        <w:rPr>
          <w:lang w:val="fr-FR"/>
        </w:rPr>
      </w:pPr>
      <w:r w:rsidRPr="00C25C7F">
        <w:rPr>
          <w:lang w:val="fr-FR"/>
        </w:rPr>
        <w:t>xxxx</w:t>
      </w:r>
    </w:p>
    <w:p w:rsidR="009063B1" w:rsidRPr="00C25C7F" w:rsidRDefault="009063B1" w:rsidP="009063B1">
      <w:pPr>
        <w:rPr>
          <w:lang w:val="fr-FR"/>
        </w:rPr>
      </w:pPr>
    </w:p>
    <w:p w:rsidR="009063B1" w:rsidRPr="00C25C7F" w:rsidRDefault="009063B1" w:rsidP="009063B1">
      <w:pPr>
        <w:rPr>
          <w:lang w:val="fr-FR"/>
        </w:rPr>
      </w:pPr>
      <w:r w:rsidRPr="00C25C7F">
        <w:rPr>
          <w:lang w:val="fr-FR"/>
        </w:rPr>
        <w:t>Le secrétaire / La secrétaire</w:t>
      </w:r>
    </w:p>
    <w:p w:rsidR="009063B1" w:rsidRPr="00C25C7F" w:rsidRDefault="009063B1" w:rsidP="009063B1">
      <w:pPr>
        <w:rPr>
          <w:lang w:val="fr-FR"/>
        </w:rPr>
      </w:pPr>
      <w:r w:rsidRPr="00C25C7F">
        <w:rPr>
          <w:lang w:val="fr-FR"/>
        </w:rPr>
        <w:t>yyyy</w:t>
      </w:r>
    </w:p>
    <w:p w:rsidR="009063B1" w:rsidRPr="00C25C7F" w:rsidRDefault="009063B1" w:rsidP="009063B1">
      <w:pPr>
        <w:rPr>
          <w:lang w:val="fr-FR"/>
        </w:rPr>
      </w:pPr>
    </w:p>
    <w:p w:rsidR="009063B1" w:rsidRPr="00C25C7F" w:rsidRDefault="009063B1" w:rsidP="009063B1">
      <w:pPr>
        <w:rPr>
          <w:lang w:val="fr-FR"/>
        </w:rPr>
      </w:pPr>
    </w:p>
    <w:p w:rsidR="000A76C5" w:rsidRPr="009063B1" w:rsidRDefault="000A76C5" w:rsidP="009063B1">
      <w:pPr>
        <w:rPr>
          <w:lang w:val="fr-FR"/>
        </w:rPr>
      </w:pPr>
    </w:p>
    <w:sectPr w:rsidR="000A76C5" w:rsidRPr="009063B1" w:rsidSect="000A76C5">
      <w:headerReference w:type="default" r:id="rId9"/>
      <w:footerReference w:type="first" r:id="rId10"/>
      <w:footnotePr>
        <w:pos w:val="beneathText"/>
      </w:footnotePr>
      <w:endnotePr>
        <w:numFmt w:val="decimal"/>
        <w:numRestart w:val="eachSect"/>
      </w:endnotePr>
      <w:type w:val="continuous"/>
      <w:pgSz w:w="11907" w:h="16840"/>
      <w:pgMar w:top="1276" w:right="851" w:bottom="1560" w:left="1616" w:header="720" w:footer="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3B1" w:rsidRDefault="009063B1">
      <w:r>
        <w:separator/>
      </w:r>
    </w:p>
  </w:endnote>
  <w:endnote w:type="continuationSeparator" w:id="0">
    <w:p w:rsidR="009063B1" w:rsidRDefault="009063B1">
      <w:r>
        <w:continuationSeparator/>
      </w:r>
    </w:p>
  </w:endnote>
  <w:endnote w:id="1">
    <w:p w:rsidR="009063B1" w:rsidRPr="00023019" w:rsidRDefault="009063B1" w:rsidP="009063B1">
      <w:pPr>
        <w:autoSpaceDE w:val="0"/>
        <w:autoSpaceDN w:val="0"/>
        <w:adjustRightInd w:val="0"/>
        <w:rPr>
          <w:rFonts w:ascii="ArialMT" w:hAnsi="ArialMT" w:cs="ArialMT"/>
          <w:sz w:val="20"/>
          <w:lang w:val="fr-FR" w:eastAsia="en-US"/>
        </w:rPr>
      </w:pPr>
      <w:r>
        <w:rPr>
          <w:rStyle w:val="Endnotenzeichen"/>
        </w:rPr>
        <w:endnoteRef/>
      </w:r>
      <w:r w:rsidRPr="00023019">
        <w:rPr>
          <w:lang w:val="fr-FR"/>
        </w:rPr>
        <w:t xml:space="preserve"> </w:t>
      </w:r>
      <w:r w:rsidRPr="00023019">
        <w:rPr>
          <w:sz w:val="20"/>
          <w:lang w:val="fr-FR"/>
        </w:rPr>
        <w:t xml:space="preserve">Remarque : possible </w:t>
      </w:r>
      <w:r>
        <w:rPr>
          <w:sz w:val="20"/>
          <w:lang w:val="fr-FR"/>
        </w:rPr>
        <w:t xml:space="preserve">seulement </w:t>
      </w:r>
      <w:r w:rsidRPr="00023019">
        <w:rPr>
          <w:sz w:val="20"/>
          <w:lang w:val="fr-FR"/>
        </w:rPr>
        <w:t xml:space="preserve">si la commission responsable lui en a délégué la compétence ou la </w:t>
      </w:r>
      <w:r>
        <w:rPr>
          <w:sz w:val="20"/>
          <w:lang w:val="fr-FR"/>
        </w:rPr>
        <w:t>lui a déléguée</w:t>
      </w:r>
      <w:r w:rsidRPr="00023019">
        <w:rPr>
          <w:sz w:val="20"/>
          <w:lang w:val="fr-FR"/>
        </w:rPr>
        <w:t xml:space="preserve"> expressément par ce descriptif de poste.</w:t>
      </w:r>
    </w:p>
    <w:p w:rsidR="009063B1" w:rsidRPr="00023019" w:rsidRDefault="009063B1" w:rsidP="009063B1">
      <w:pPr>
        <w:pStyle w:val="Endnotentext"/>
        <w:rPr>
          <w:lang w:val="fr-FR"/>
        </w:rPr>
      </w:pPr>
    </w:p>
  </w:endnote>
  <w:endnote w:id="2">
    <w:p w:rsidR="009063B1" w:rsidRPr="00023019" w:rsidRDefault="009063B1" w:rsidP="009063B1">
      <w:pPr>
        <w:pStyle w:val="Endnotentext"/>
        <w:rPr>
          <w:lang w:val="fr-FR"/>
        </w:rPr>
      </w:pPr>
      <w:r>
        <w:rPr>
          <w:rStyle w:val="Endnotenzeichen"/>
        </w:rPr>
        <w:endnoteRef/>
      </w:r>
      <w:r w:rsidRPr="00023019">
        <w:rPr>
          <w:lang w:val="fr-FR"/>
        </w:rPr>
        <w:t xml:space="preserve"> Pour autant que la commission compétente ait approuvé un</w:t>
      </w:r>
      <w:r>
        <w:rPr>
          <w:lang w:val="fr-FR"/>
        </w:rPr>
        <w:t xml:space="preserve"> concept de base en la matière</w:t>
      </w:r>
      <w:r w:rsidRPr="00023019">
        <w:rPr>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B1" w:rsidRDefault="009063B1">
    <w:pPr>
      <w:pStyle w:val="Fuzeile"/>
      <w:rPr>
        <w:color w:val="000000"/>
        <w:sz w:val="20"/>
      </w:rPr>
    </w:pPr>
  </w:p>
  <w:p w:rsidR="009063B1" w:rsidRPr="00C97325" w:rsidRDefault="009063B1">
    <w:pPr>
      <w:pStyle w:val="Fuzeil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B1" w:rsidRDefault="009063B1">
    <w:pPr>
      <w:pStyle w:val="Fuzeile"/>
      <w:rPr>
        <w:color w:val="000000"/>
        <w:sz w:val="20"/>
      </w:rPr>
    </w:pPr>
  </w:p>
  <w:p w:rsidR="009063B1" w:rsidRPr="00C97325" w:rsidRDefault="009063B1">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3B1" w:rsidRDefault="009063B1">
      <w:r>
        <w:separator/>
      </w:r>
    </w:p>
  </w:footnote>
  <w:footnote w:type="continuationSeparator" w:id="0">
    <w:p w:rsidR="009063B1" w:rsidRDefault="0090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B1" w:rsidRDefault="009063B1">
    <w:pPr>
      <w:pStyle w:val="Kopfzeile"/>
      <w:jc w:val="center"/>
    </w:pPr>
    <w:r>
      <w:fldChar w:fldCharType="begin"/>
    </w:r>
    <w:r>
      <w:instrText>PAGE</w:instrText>
    </w:r>
    <w:r>
      <w:fldChar w:fldCharType="separate"/>
    </w:r>
    <w:r>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B1" w:rsidRDefault="009063B1">
    <w:pPr>
      <w:pStyle w:val="Kopfzeile"/>
      <w:jc w:val="center"/>
    </w:pPr>
    <w:r>
      <w:fldChar w:fldCharType="begin"/>
    </w:r>
    <w:r>
      <w:instrText>PAGE</w:instrText>
    </w:r>
    <w:r>
      <w:fldChar w:fldCharType="separate"/>
    </w:r>
    <w:r w:rsidR="003607C9">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FE5682"/>
    <w:lvl w:ilvl="0">
      <w:numFmt w:val="bullet"/>
      <w:lvlText w:val="*"/>
      <w:lvlJc w:val="left"/>
    </w:lvl>
  </w:abstractNum>
  <w:abstractNum w:abstractNumId="1" w15:restartNumberingAfterBreak="0">
    <w:nsid w:val="086118B5"/>
    <w:multiLevelType w:val="singleLevel"/>
    <w:tmpl w:val="174C29DA"/>
    <w:lvl w:ilvl="0">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DB87D70"/>
    <w:multiLevelType w:val="singleLevel"/>
    <w:tmpl w:val="1F0699F0"/>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F32071B"/>
    <w:multiLevelType w:val="hybridMultilevel"/>
    <w:tmpl w:val="8E78F588"/>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2499478F"/>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2849435E"/>
    <w:multiLevelType w:val="hybridMultilevel"/>
    <w:tmpl w:val="669A8986"/>
    <w:lvl w:ilvl="0" w:tplc="9A4CBA78">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9A54A3"/>
    <w:multiLevelType w:val="hybridMultilevel"/>
    <w:tmpl w:val="7A36D88E"/>
    <w:lvl w:ilvl="0" w:tplc="1F0699F0">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570D74"/>
    <w:multiLevelType w:val="hybridMultilevel"/>
    <w:tmpl w:val="0FCA1E4E"/>
    <w:lvl w:ilvl="0" w:tplc="8F86896A">
      <w:numFmt w:val="bullet"/>
      <w:lvlText w:val="-"/>
      <w:lvlJc w:val="left"/>
      <w:pPr>
        <w:tabs>
          <w:tab w:val="num" w:pos="720"/>
        </w:tabs>
        <w:ind w:left="720" w:hanging="360"/>
      </w:pPr>
      <w:rPr>
        <w:rFonts w:ascii="Helv" w:eastAsia="Times New Roman" w:hAnsi="Helv"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83753"/>
    <w:multiLevelType w:val="hybridMultilevel"/>
    <w:tmpl w:val="59A20F7C"/>
    <w:lvl w:ilvl="0" w:tplc="9A4CBA78">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03CC3"/>
    <w:multiLevelType w:val="hybridMultilevel"/>
    <w:tmpl w:val="717AF676"/>
    <w:lvl w:ilvl="0" w:tplc="9A4CBA78">
      <w:start w:val="2"/>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277E8"/>
    <w:multiLevelType w:val="hybridMultilevel"/>
    <w:tmpl w:val="96246F80"/>
    <w:lvl w:ilvl="0" w:tplc="8F86896A">
      <w:numFmt w:val="bullet"/>
      <w:lvlText w:val="-"/>
      <w:lvlJc w:val="left"/>
      <w:pPr>
        <w:tabs>
          <w:tab w:val="num" w:pos="720"/>
        </w:tabs>
        <w:ind w:left="720" w:hanging="360"/>
      </w:pPr>
      <w:rPr>
        <w:rFonts w:ascii="Helv" w:eastAsia="Times New Roman" w:hAnsi="Helv"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5"/>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activeWritingStyle w:appName="MSWord" w:lang="fr-CH"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3F"/>
    <w:rsid w:val="00002B84"/>
    <w:rsid w:val="00012142"/>
    <w:rsid w:val="00036C45"/>
    <w:rsid w:val="0004060E"/>
    <w:rsid w:val="0004475A"/>
    <w:rsid w:val="000460F7"/>
    <w:rsid w:val="00050AA6"/>
    <w:rsid w:val="0005180D"/>
    <w:rsid w:val="00063FB5"/>
    <w:rsid w:val="000678C2"/>
    <w:rsid w:val="000724F0"/>
    <w:rsid w:val="00075095"/>
    <w:rsid w:val="00076439"/>
    <w:rsid w:val="00077321"/>
    <w:rsid w:val="000866FF"/>
    <w:rsid w:val="00086F14"/>
    <w:rsid w:val="000A5450"/>
    <w:rsid w:val="000A76C5"/>
    <w:rsid w:val="000B0649"/>
    <w:rsid w:val="000B1056"/>
    <w:rsid w:val="000B47D8"/>
    <w:rsid w:val="000B6712"/>
    <w:rsid w:val="000C4CE1"/>
    <w:rsid w:val="000C5BCA"/>
    <w:rsid w:val="000C6989"/>
    <w:rsid w:val="000E242E"/>
    <w:rsid w:val="000E2B42"/>
    <w:rsid w:val="000F4B61"/>
    <w:rsid w:val="000F4C75"/>
    <w:rsid w:val="00122D59"/>
    <w:rsid w:val="0012584A"/>
    <w:rsid w:val="00125FDF"/>
    <w:rsid w:val="00131C3C"/>
    <w:rsid w:val="001323D5"/>
    <w:rsid w:val="001337AA"/>
    <w:rsid w:val="001345A8"/>
    <w:rsid w:val="00134E59"/>
    <w:rsid w:val="0015414C"/>
    <w:rsid w:val="00162B1D"/>
    <w:rsid w:val="00172501"/>
    <w:rsid w:val="001900D3"/>
    <w:rsid w:val="00191B2C"/>
    <w:rsid w:val="00194FD5"/>
    <w:rsid w:val="00195067"/>
    <w:rsid w:val="001974F2"/>
    <w:rsid w:val="001A2225"/>
    <w:rsid w:val="001A75FB"/>
    <w:rsid w:val="001B699D"/>
    <w:rsid w:val="001B714B"/>
    <w:rsid w:val="001E1AE7"/>
    <w:rsid w:val="001E7D72"/>
    <w:rsid w:val="001F5166"/>
    <w:rsid w:val="00205C09"/>
    <w:rsid w:val="0021668B"/>
    <w:rsid w:val="00217E71"/>
    <w:rsid w:val="00235816"/>
    <w:rsid w:val="0025007C"/>
    <w:rsid w:val="00253F07"/>
    <w:rsid w:val="002647F7"/>
    <w:rsid w:val="0027393D"/>
    <w:rsid w:val="00274B0A"/>
    <w:rsid w:val="00286355"/>
    <w:rsid w:val="00292539"/>
    <w:rsid w:val="002946B4"/>
    <w:rsid w:val="002B27C6"/>
    <w:rsid w:val="002B5AD8"/>
    <w:rsid w:val="002C07CE"/>
    <w:rsid w:val="002C57BB"/>
    <w:rsid w:val="002D0A59"/>
    <w:rsid w:val="002E6846"/>
    <w:rsid w:val="002E7ACD"/>
    <w:rsid w:val="002F4392"/>
    <w:rsid w:val="00311992"/>
    <w:rsid w:val="003153F4"/>
    <w:rsid w:val="00320263"/>
    <w:rsid w:val="00325BF5"/>
    <w:rsid w:val="00345A02"/>
    <w:rsid w:val="00350CD9"/>
    <w:rsid w:val="003607C9"/>
    <w:rsid w:val="003848F6"/>
    <w:rsid w:val="003A2082"/>
    <w:rsid w:val="003A4B13"/>
    <w:rsid w:val="003A746B"/>
    <w:rsid w:val="003B01D3"/>
    <w:rsid w:val="003B4180"/>
    <w:rsid w:val="003C2137"/>
    <w:rsid w:val="003C26D6"/>
    <w:rsid w:val="003C2F03"/>
    <w:rsid w:val="003E6143"/>
    <w:rsid w:val="003F79D3"/>
    <w:rsid w:val="00405BF9"/>
    <w:rsid w:val="00407885"/>
    <w:rsid w:val="00416EB8"/>
    <w:rsid w:val="00423E4C"/>
    <w:rsid w:val="00444B38"/>
    <w:rsid w:val="0044572E"/>
    <w:rsid w:val="004464D7"/>
    <w:rsid w:val="00446533"/>
    <w:rsid w:val="004810B7"/>
    <w:rsid w:val="004860FE"/>
    <w:rsid w:val="00495A24"/>
    <w:rsid w:val="004A4067"/>
    <w:rsid w:val="004A7466"/>
    <w:rsid w:val="004B2011"/>
    <w:rsid w:val="004B3142"/>
    <w:rsid w:val="004B5DB2"/>
    <w:rsid w:val="004C1D90"/>
    <w:rsid w:val="004C2EC7"/>
    <w:rsid w:val="004C4721"/>
    <w:rsid w:val="004D02B1"/>
    <w:rsid w:val="004E2CF4"/>
    <w:rsid w:val="004E4A05"/>
    <w:rsid w:val="004F7F1C"/>
    <w:rsid w:val="005060DF"/>
    <w:rsid w:val="00507E9C"/>
    <w:rsid w:val="005219CE"/>
    <w:rsid w:val="00524FD3"/>
    <w:rsid w:val="005257FF"/>
    <w:rsid w:val="00525A64"/>
    <w:rsid w:val="00526468"/>
    <w:rsid w:val="00546EAA"/>
    <w:rsid w:val="00555F6B"/>
    <w:rsid w:val="00564769"/>
    <w:rsid w:val="00567CA9"/>
    <w:rsid w:val="005778AF"/>
    <w:rsid w:val="00580445"/>
    <w:rsid w:val="0058053A"/>
    <w:rsid w:val="00580841"/>
    <w:rsid w:val="0058317C"/>
    <w:rsid w:val="0059505F"/>
    <w:rsid w:val="0059548B"/>
    <w:rsid w:val="005A0A9A"/>
    <w:rsid w:val="005A1D80"/>
    <w:rsid w:val="005C2E6D"/>
    <w:rsid w:val="005C3384"/>
    <w:rsid w:val="005D4AE9"/>
    <w:rsid w:val="005E1752"/>
    <w:rsid w:val="005E4D73"/>
    <w:rsid w:val="005F02B2"/>
    <w:rsid w:val="005F2F1E"/>
    <w:rsid w:val="006211B6"/>
    <w:rsid w:val="006226CB"/>
    <w:rsid w:val="006241BA"/>
    <w:rsid w:val="00626CC6"/>
    <w:rsid w:val="0063012C"/>
    <w:rsid w:val="00640965"/>
    <w:rsid w:val="00642BC7"/>
    <w:rsid w:val="006447CE"/>
    <w:rsid w:val="00660037"/>
    <w:rsid w:val="006602D9"/>
    <w:rsid w:val="00662E89"/>
    <w:rsid w:val="006667E1"/>
    <w:rsid w:val="006726FC"/>
    <w:rsid w:val="0067270C"/>
    <w:rsid w:val="00677BC1"/>
    <w:rsid w:val="006A6F18"/>
    <w:rsid w:val="006B21D6"/>
    <w:rsid w:val="006C78E3"/>
    <w:rsid w:val="006E3397"/>
    <w:rsid w:val="006E534E"/>
    <w:rsid w:val="006E7667"/>
    <w:rsid w:val="006F2D7C"/>
    <w:rsid w:val="006F7686"/>
    <w:rsid w:val="00700E76"/>
    <w:rsid w:val="007115C3"/>
    <w:rsid w:val="007122F4"/>
    <w:rsid w:val="00720299"/>
    <w:rsid w:val="007327D6"/>
    <w:rsid w:val="0074032D"/>
    <w:rsid w:val="007458EC"/>
    <w:rsid w:val="0075434D"/>
    <w:rsid w:val="007645AA"/>
    <w:rsid w:val="00767E1C"/>
    <w:rsid w:val="00775C26"/>
    <w:rsid w:val="007A3E8A"/>
    <w:rsid w:val="007A606B"/>
    <w:rsid w:val="007B1B96"/>
    <w:rsid w:val="007C6095"/>
    <w:rsid w:val="007D00B7"/>
    <w:rsid w:val="007D55A9"/>
    <w:rsid w:val="007E1954"/>
    <w:rsid w:val="007E1A08"/>
    <w:rsid w:val="007E3146"/>
    <w:rsid w:val="007E3691"/>
    <w:rsid w:val="008137F0"/>
    <w:rsid w:val="00816BA8"/>
    <w:rsid w:val="008366A7"/>
    <w:rsid w:val="00841CCB"/>
    <w:rsid w:val="00844E74"/>
    <w:rsid w:val="00862788"/>
    <w:rsid w:val="0086316A"/>
    <w:rsid w:val="00871951"/>
    <w:rsid w:val="0087559A"/>
    <w:rsid w:val="008955B1"/>
    <w:rsid w:val="008B359C"/>
    <w:rsid w:val="008C259F"/>
    <w:rsid w:val="00902327"/>
    <w:rsid w:val="00904B1C"/>
    <w:rsid w:val="009063B1"/>
    <w:rsid w:val="009207DF"/>
    <w:rsid w:val="00923A7E"/>
    <w:rsid w:val="009245AC"/>
    <w:rsid w:val="00943818"/>
    <w:rsid w:val="00944EAF"/>
    <w:rsid w:val="00945165"/>
    <w:rsid w:val="00967FB2"/>
    <w:rsid w:val="009718B0"/>
    <w:rsid w:val="0097414B"/>
    <w:rsid w:val="009765F7"/>
    <w:rsid w:val="009833B7"/>
    <w:rsid w:val="00993B5F"/>
    <w:rsid w:val="009A0703"/>
    <w:rsid w:val="009B3705"/>
    <w:rsid w:val="009D3A52"/>
    <w:rsid w:val="009D67E1"/>
    <w:rsid w:val="009F5D6B"/>
    <w:rsid w:val="00A00A91"/>
    <w:rsid w:val="00A02066"/>
    <w:rsid w:val="00A24781"/>
    <w:rsid w:val="00A26866"/>
    <w:rsid w:val="00A32E67"/>
    <w:rsid w:val="00A40D2F"/>
    <w:rsid w:val="00A5016A"/>
    <w:rsid w:val="00A512E8"/>
    <w:rsid w:val="00A63CC9"/>
    <w:rsid w:val="00A65681"/>
    <w:rsid w:val="00A7022A"/>
    <w:rsid w:val="00A71BE7"/>
    <w:rsid w:val="00A72D00"/>
    <w:rsid w:val="00A74481"/>
    <w:rsid w:val="00A955F3"/>
    <w:rsid w:val="00A96ECC"/>
    <w:rsid w:val="00AA06F3"/>
    <w:rsid w:val="00AA245A"/>
    <w:rsid w:val="00AB25F6"/>
    <w:rsid w:val="00AB36DE"/>
    <w:rsid w:val="00AB5009"/>
    <w:rsid w:val="00AD0137"/>
    <w:rsid w:val="00AE0DF1"/>
    <w:rsid w:val="00AE1B66"/>
    <w:rsid w:val="00AF3426"/>
    <w:rsid w:val="00B021AF"/>
    <w:rsid w:val="00B0282E"/>
    <w:rsid w:val="00B0284A"/>
    <w:rsid w:val="00B207ED"/>
    <w:rsid w:val="00B23784"/>
    <w:rsid w:val="00B45A97"/>
    <w:rsid w:val="00B45BB8"/>
    <w:rsid w:val="00B56D98"/>
    <w:rsid w:val="00B7266B"/>
    <w:rsid w:val="00B8214F"/>
    <w:rsid w:val="00B821DB"/>
    <w:rsid w:val="00BA6075"/>
    <w:rsid w:val="00BB0DFF"/>
    <w:rsid w:val="00BB1B95"/>
    <w:rsid w:val="00BB3055"/>
    <w:rsid w:val="00BE4AF8"/>
    <w:rsid w:val="00BE6DC8"/>
    <w:rsid w:val="00BF5818"/>
    <w:rsid w:val="00C02B13"/>
    <w:rsid w:val="00C06F47"/>
    <w:rsid w:val="00C078F4"/>
    <w:rsid w:val="00C110CF"/>
    <w:rsid w:val="00C229AF"/>
    <w:rsid w:val="00C30B84"/>
    <w:rsid w:val="00C45FAC"/>
    <w:rsid w:val="00C51D69"/>
    <w:rsid w:val="00C53443"/>
    <w:rsid w:val="00C642B4"/>
    <w:rsid w:val="00C643C3"/>
    <w:rsid w:val="00C71B45"/>
    <w:rsid w:val="00C759D1"/>
    <w:rsid w:val="00C75BEB"/>
    <w:rsid w:val="00C87506"/>
    <w:rsid w:val="00C97325"/>
    <w:rsid w:val="00CB3623"/>
    <w:rsid w:val="00CD1965"/>
    <w:rsid w:val="00CE4637"/>
    <w:rsid w:val="00CE6200"/>
    <w:rsid w:val="00CF5EBF"/>
    <w:rsid w:val="00D0372B"/>
    <w:rsid w:val="00D04AAA"/>
    <w:rsid w:val="00D110BE"/>
    <w:rsid w:val="00D15773"/>
    <w:rsid w:val="00D225FC"/>
    <w:rsid w:val="00D24C03"/>
    <w:rsid w:val="00D25B7F"/>
    <w:rsid w:val="00D33045"/>
    <w:rsid w:val="00D37063"/>
    <w:rsid w:val="00D4143F"/>
    <w:rsid w:val="00D54D4A"/>
    <w:rsid w:val="00D63B94"/>
    <w:rsid w:val="00D76260"/>
    <w:rsid w:val="00D9751F"/>
    <w:rsid w:val="00D9789B"/>
    <w:rsid w:val="00DA276C"/>
    <w:rsid w:val="00DA38AB"/>
    <w:rsid w:val="00DB450C"/>
    <w:rsid w:val="00DD2CE9"/>
    <w:rsid w:val="00DE2B2E"/>
    <w:rsid w:val="00DE3C5D"/>
    <w:rsid w:val="00DE5F55"/>
    <w:rsid w:val="00DF32D7"/>
    <w:rsid w:val="00DF4FB3"/>
    <w:rsid w:val="00DF566E"/>
    <w:rsid w:val="00E0142A"/>
    <w:rsid w:val="00E10CA9"/>
    <w:rsid w:val="00E12F89"/>
    <w:rsid w:val="00E25AD3"/>
    <w:rsid w:val="00E31196"/>
    <w:rsid w:val="00E31FFB"/>
    <w:rsid w:val="00E34584"/>
    <w:rsid w:val="00E46448"/>
    <w:rsid w:val="00E50AD5"/>
    <w:rsid w:val="00E565B9"/>
    <w:rsid w:val="00E626F5"/>
    <w:rsid w:val="00E70BDA"/>
    <w:rsid w:val="00E81C23"/>
    <w:rsid w:val="00E835D3"/>
    <w:rsid w:val="00E92A94"/>
    <w:rsid w:val="00EA63E9"/>
    <w:rsid w:val="00EB007F"/>
    <w:rsid w:val="00EB0B69"/>
    <w:rsid w:val="00EB4F8A"/>
    <w:rsid w:val="00EB7454"/>
    <w:rsid w:val="00ED4BDD"/>
    <w:rsid w:val="00EF1A61"/>
    <w:rsid w:val="00EF65F5"/>
    <w:rsid w:val="00F0793E"/>
    <w:rsid w:val="00F108F6"/>
    <w:rsid w:val="00F20FD1"/>
    <w:rsid w:val="00F5445D"/>
    <w:rsid w:val="00F60CEE"/>
    <w:rsid w:val="00F66DCD"/>
    <w:rsid w:val="00F70F4D"/>
    <w:rsid w:val="00FB473B"/>
    <w:rsid w:val="00FE55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38E39-568A-44CA-89BF-68875E04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 w:hAnsi="Helv"/>
      <w:sz w:val="22"/>
    </w:rPr>
  </w:style>
  <w:style w:type="paragraph" w:styleId="berschrift1">
    <w:name w:val="heading 1"/>
    <w:basedOn w:val="Standard"/>
    <w:next w:val="Standard"/>
    <w:qFormat/>
    <w:pPr>
      <w:keepNext/>
      <w:outlineLvl w:val="0"/>
    </w:pPr>
    <w:rPr>
      <w:rFonts w:ascii="Arial" w:hAnsi="Arial"/>
      <w:sz w:val="24"/>
      <w:lang w:val="fr-CH"/>
    </w:rPr>
  </w:style>
  <w:style w:type="paragraph" w:styleId="berschrift3">
    <w:name w:val="heading 3"/>
    <w:basedOn w:val="Standard"/>
    <w:next w:val="Standard"/>
    <w:qFormat/>
    <w:pPr>
      <w:keepNext/>
      <w:spacing w:after="240" w:line="240" w:lineRule="atLeast"/>
      <w:outlineLvl w:val="2"/>
    </w:pPr>
    <w:rPr>
      <w:rFonts w:ascii="Arial" w:hAnsi="Arial"/>
      <w:b/>
      <w:i/>
      <w:sz w:val="24"/>
    </w:rPr>
  </w:style>
  <w:style w:type="paragraph" w:styleId="berschrift6">
    <w:name w:val="heading 6"/>
    <w:basedOn w:val="Standard"/>
    <w:next w:val="Standard"/>
    <w:qFormat/>
    <w:pPr>
      <w:keepNext/>
      <w:widowControl w:val="0"/>
      <w:outlineLvl w:val="5"/>
    </w:pPr>
    <w:rPr>
      <w:rFonts w:ascii="Arial" w:hAnsi="Arial"/>
      <w:b/>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819"/>
        <w:tab w:val="right" w:pos="9071"/>
      </w:tabs>
    </w:pPr>
  </w:style>
  <w:style w:type="paragraph" w:customStyle="1" w:styleId="Briefkopf">
    <w:name w:val="Briefkopf"/>
    <w:basedOn w:val="Standard"/>
    <w:pPr>
      <w:ind w:left="5443"/>
    </w:pPr>
  </w:style>
  <w:style w:type="paragraph" w:customStyle="1" w:styleId="Einrcken">
    <w:name w:val="Einrücken"/>
    <w:basedOn w:val="Standard"/>
    <w:pPr>
      <w:ind w:left="426" w:hanging="426"/>
    </w:pPr>
  </w:style>
  <w:style w:type="paragraph" w:customStyle="1" w:styleId="Betrag">
    <w:name w:val="Betrag"/>
    <w:basedOn w:val="Einrcken"/>
    <w:pPr>
      <w:tabs>
        <w:tab w:val="left" w:pos="5670"/>
        <w:tab w:val="decimal" w:pos="7371"/>
      </w:tabs>
      <w:ind w:firstLine="0"/>
    </w:pPr>
  </w:style>
  <w:style w:type="paragraph" w:styleId="Textkrper">
    <w:name w:val="Body Text"/>
    <w:basedOn w:val="Standard"/>
    <w:pPr>
      <w:framePr w:wrap="around" w:vAnchor="page" w:hAnchor="page" w:x="1628" w:y="455"/>
      <w:tabs>
        <w:tab w:val="left" w:pos="2269"/>
      </w:tabs>
    </w:pPr>
    <w:rPr>
      <w:b/>
      <w:sz w:val="16"/>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StandardLinks0cm">
    <w:name w:val="Standard + Links:  0 cm"/>
    <w:aliases w:val="Hängend:  0.63 cm"/>
    <w:basedOn w:val="Standard"/>
    <w:rsid w:val="006726FC"/>
    <w:pPr>
      <w:ind w:left="213" w:hanging="213"/>
    </w:pPr>
  </w:style>
  <w:style w:type="paragraph" w:styleId="StandardWeb">
    <w:name w:val="Normal (Web)"/>
    <w:basedOn w:val="Standard"/>
    <w:rsid w:val="00A24781"/>
    <w:pPr>
      <w:spacing w:before="100" w:beforeAutospacing="1" w:after="100" w:afterAutospacing="1"/>
    </w:pPr>
    <w:rPr>
      <w:rFonts w:ascii="Times New Roman" w:hAnsi="Times New Roman"/>
      <w:sz w:val="24"/>
      <w:szCs w:val="24"/>
    </w:rPr>
  </w:style>
  <w:style w:type="paragraph" w:styleId="Sprechblasentext">
    <w:name w:val="Balloon Text"/>
    <w:basedOn w:val="Standard"/>
    <w:semiHidden/>
    <w:rsid w:val="00B021AF"/>
    <w:rPr>
      <w:rFonts w:ascii="Tahoma" w:hAnsi="Tahoma" w:cs="Tahoma"/>
      <w:sz w:val="16"/>
      <w:szCs w:val="16"/>
    </w:rPr>
  </w:style>
  <w:style w:type="paragraph" w:customStyle="1" w:styleId="Default">
    <w:name w:val="Default"/>
    <w:rsid w:val="009207DF"/>
    <w:pPr>
      <w:autoSpaceDE w:val="0"/>
      <w:autoSpaceDN w:val="0"/>
      <w:adjustRightInd w:val="0"/>
    </w:pPr>
    <w:rPr>
      <w:rFonts w:ascii="Arial" w:hAnsi="Arial" w:cs="Arial"/>
      <w:color w:val="000000"/>
      <w:sz w:val="24"/>
      <w:szCs w:val="24"/>
      <w:lang w:val="en-US" w:eastAsia="en-US"/>
    </w:rPr>
  </w:style>
  <w:style w:type="paragraph" w:customStyle="1" w:styleId="Kopfzeile1">
    <w:name w:val="Kopfzeile1"/>
    <w:basedOn w:val="Default"/>
    <w:next w:val="Default"/>
    <w:rsid w:val="009207DF"/>
    <w:rPr>
      <w:rFonts w:cs="Times New Roman"/>
      <w:color w:val="auto"/>
    </w:rPr>
  </w:style>
  <w:style w:type="paragraph" w:styleId="Funotentext">
    <w:name w:val="footnote text"/>
    <w:basedOn w:val="Standard"/>
    <w:semiHidden/>
    <w:rsid w:val="00B207ED"/>
    <w:rPr>
      <w:sz w:val="20"/>
    </w:rPr>
  </w:style>
  <w:style w:type="character" w:styleId="Funotenzeichen">
    <w:name w:val="footnote reference"/>
    <w:basedOn w:val="Absatz-Standardschriftart"/>
    <w:semiHidden/>
    <w:rsid w:val="00B207ED"/>
    <w:rPr>
      <w:vertAlign w:val="superscript"/>
    </w:rPr>
  </w:style>
  <w:style w:type="paragraph" w:styleId="Endnotentext">
    <w:name w:val="endnote text"/>
    <w:basedOn w:val="Standard"/>
    <w:semiHidden/>
    <w:rsid w:val="005257FF"/>
    <w:rPr>
      <w:sz w:val="20"/>
    </w:rPr>
  </w:style>
  <w:style w:type="character" w:styleId="Endnotenzeichen">
    <w:name w:val="endnote reference"/>
    <w:basedOn w:val="Absatz-Standardschriftart"/>
    <w:semiHidden/>
    <w:rsid w:val="005257FF"/>
    <w:rPr>
      <w:vertAlign w:val="superscript"/>
    </w:rPr>
  </w:style>
  <w:style w:type="character" w:styleId="Kommentarzeichen">
    <w:name w:val="annotation reference"/>
    <w:basedOn w:val="Absatz-Standardschriftart"/>
    <w:semiHidden/>
    <w:rsid w:val="00122D59"/>
    <w:rPr>
      <w:sz w:val="16"/>
      <w:szCs w:val="16"/>
    </w:rPr>
  </w:style>
  <w:style w:type="paragraph" w:styleId="Kommentartext">
    <w:name w:val="annotation text"/>
    <w:basedOn w:val="Standard"/>
    <w:semiHidden/>
    <w:rsid w:val="00122D59"/>
    <w:rPr>
      <w:sz w:val="20"/>
    </w:rPr>
  </w:style>
  <w:style w:type="paragraph" w:styleId="Kommentarthema">
    <w:name w:val="annotation subject"/>
    <w:basedOn w:val="Kommentartext"/>
    <w:next w:val="Kommentartext"/>
    <w:semiHidden/>
    <w:rsid w:val="00122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4816">
      <w:bodyDiv w:val="1"/>
      <w:marLeft w:val="0"/>
      <w:marRight w:val="0"/>
      <w:marTop w:val="0"/>
      <w:marBottom w:val="0"/>
      <w:divBdr>
        <w:top w:val="none" w:sz="0" w:space="0" w:color="auto"/>
        <w:left w:val="none" w:sz="0" w:space="0" w:color="auto"/>
        <w:bottom w:val="none" w:sz="0" w:space="0" w:color="auto"/>
        <w:right w:val="none" w:sz="0" w:space="0" w:color="auto"/>
      </w:divBdr>
      <w:divsChild>
        <w:div w:id="2054385141">
          <w:marLeft w:val="0"/>
          <w:marRight w:val="0"/>
          <w:marTop w:val="0"/>
          <w:marBottom w:val="0"/>
          <w:divBdr>
            <w:top w:val="none" w:sz="0" w:space="0" w:color="auto"/>
            <w:left w:val="none" w:sz="0" w:space="0" w:color="auto"/>
            <w:bottom w:val="none" w:sz="0" w:space="0" w:color="auto"/>
            <w:right w:val="none" w:sz="0" w:space="0" w:color="auto"/>
          </w:divBdr>
        </w:div>
      </w:divsChild>
    </w:div>
    <w:div w:id="1049382056">
      <w:bodyDiv w:val="1"/>
      <w:marLeft w:val="0"/>
      <w:marRight w:val="0"/>
      <w:marTop w:val="0"/>
      <w:marBottom w:val="0"/>
      <w:divBdr>
        <w:top w:val="none" w:sz="0" w:space="0" w:color="auto"/>
        <w:left w:val="none" w:sz="0" w:space="0" w:color="auto"/>
        <w:bottom w:val="none" w:sz="0" w:space="0" w:color="auto"/>
        <w:right w:val="none" w:sz="0" w:space="0" w:color="auto"/>
      </w:divBdr>
      <w:divsChild>
        <w:div w:id="7313467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6929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Modèle de cahier des charges pour la direction de l’enseignement spécialisé</vt:lpstr>
    </vt:vector>
  </TitlesOfParts>
  <Company>des Kantons Bern</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cahier des charges pour la direction de l’enseignement spécialisé</dc:title>
  <dc:subject>Spezialunterricht_enseignement spécialisé</dc:subject>
  <dc:creator>AKVB_OECO</dc:creator>
  <cp:keywords>OECO</cp:keywords>
  <cp:lastModifiedBy>Rognon Patrick, BKD-AKVB-FBS</cp:lastModifiedBy>
  <cp:revision>3</cp:revision>
  <cp:lastPrinted>2006-05-09T10:51:00Z</cp:lastPrinted>
  <dcterms:created xsi:type="dcterms:W3CDTF">2021-11-18T11:51:00Z</dcterms:created>
  <dcterms:modified xsi:type="dcterms:W3CDTF">2021-11-18T12:01:00Z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-2137899722</vt:i4>
  </property>
  <property fmtid="{D5CDD505-2E9C-101B-9397-08002B2CF9AE}" pid="3" name="_EmailSubject">
    <vt:lpwstr>Aktennotiz 16.11.04 AKVB'BiEv.doc</vt:lpwstr>
  </property>
  <property fmtid="{D5CDD505-2E9C-101B-9397-08002B2CF9AE}" pid="4" name="_AuthorEmail">
    <vt:lpwstr>Enrico.Mussi@erz.be.ch</vt:lpwstr>
  </property>
  <property fmtid="{D5CDD505-2E9C-101B-9397-08002B2CF9AE}" pid="5" name="_AuthorEmailDisplayName">
    <vt:lpwstr>Mussi Enrico, ERZ-AKVB-AVS d</vt:lpwstr>
  </property>
  <property fmtid="{D5CDD505-2E9C-101B-9397-08002B2CF9AE}" pid="6" name="_ReviewingToolsShownOnce">
    <vt:lpwstr/>
  </property>
</Properties>
</file>